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color w:val="000000" w:themeColor="text1"/>
          <w:sz w:val="96"/>
          <w:szCs w:val="96"/>
          <w14:textFill>
            <w14:solidFill>
              <w14:schemeClr w14:val="tx1"/>
            </w14:solidFill>
          </w14:textFill>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ind w:firstLine="2209" w:firstLineChars="500"/>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b/>
          <w:sz w:val="44"/>
          <w:szCs w:val="44"/>
        </w:rPr>
        <w:t>廊坊市</w:t>
      </w:r>
      <w:r>
        <w:rPr>
          <w:rFonts w:hint="eastAsia"/>
          <w:b/>
          <w:sz w:val="44"/>
          <w:szCs w:val="44"/>
          <w:lang w:eastAsia="zh-CN"/>
        </w:rPr>
        <w:t>大厂回族自治县水务局</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tabs>
          <w:tab w:val="left" w:pos="2520"/>
        </w:tabs>
        <w:spacing w:line="580" w:lineRule="exact"/>
        <w:ind w:firstLine="640" w:firstLineChars="200"/>
        <w:rPr>
          <w:rFonts w:eastAsia="仿宋_GB2312"/>
          <w:sz w:val="24"/>
          <w:szCs w:val="32"/>
        </w:rPr>
      </w:pPr>
      <w:r>
        <w:rPr>
          <w:rFonts w:eastAsia="黑体"/>
          <w:sz w:val="32"/>
          <w:szCs w:val="32"/>
        </w:rPr>
        <w:t>第一部分</w:t>
      </w:r>
      <w:r>
        <w:rPr>
          <w:rFonts w:hint="eastAsia" w:eastAsia="黑体"/>
          <w:sz w:val="32"/>
          <w:szCs w:val="32"/>
          <w:lang w:val="en-US" w:eastAsia="zh-CN"/>
        </w:rPr>
        <w:t xml:space="preserve">   </w:t>
      </w:r>
      <w:r>
        <w:rPr>
          <w:rFonts w:eastAsia="黑体"/>
          <w:sz w:val="32"/>
          <w:szCs w:val="32"/>
        </w:rPr>
        <w:t>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eastAsia="zh-CN"/>
        </w:rPr>
        <w:t>水务局</w:t>
      </w:r>
      <w:r>
        <w:rPr>
          <w:rFonts w:eastAsia="黑体"/>
          <w:sz w:val="32"/>
          <w:szCs w:val="32"/>
        </w:rPr>
        <w:t>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根据《大厂回族自治县水务局所主要职责内设机构和人员编制规定》，大厂回族自治县水务局的主要职责是：</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（一）</w:t>
      </w:r>
      <w:r>
        <w:rPr>
          <w:rFonts w:hint="eastAsia" w:ascii="仿宋" w:hAnsi="仿宋" w:eastAsia="仿宋" w:cs="仿宋"/>
          <w:sz w:val="32"/>
          <w:szCs w:val="32"/>
        </w:rPr>
        <w:t>负责《中华人民共和国水法》等水利法律法规的组织实施，拟订全县水利工作的发展战略，中长期规划和年度计划，组织起草有关水利方面的规章制度，并负责监督实施。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（二）</w:t>
      </w:r>
      <w:r>
        <w:rPr>
          <w:rFonts w:hint="eastAsia" w:ascii="仿宋" w:hAnsi="仿宋" w:eastAsia="仿宋" w:cs="仿宋"/>
          <w:sz w:val="32"/>
          <w:szCs w:val="32"/>
        </w:rPr>
        <w:t>统一管理全县水资源（含空中水、地表水、地下水），组织拟订全县和跨乡镇水长期供求计划，水量分配方案并监督实施；组织有关国民经济总体规划、城镇规划及重大项目的水资源和防洪论证工作；负责组织全县水资源的监测和调查评价，组织实施取水许可证制度；负责收取水资源费、农业基本水费、河道工程修建维护管理费，对水资源保护实施监督管理。</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（三）</w:t>
      </w:r>
      <w:r>
        <w:rPr>
          <w:rFonts w:hint="eastAsia" w:ascii="仿宋" w:hAnsi="仿宋" w:eastAsia="仿宋" w:cs="仿宋"/>
          <w:sz w:val="32"/>
          <w:szCs w:val="32"/>
        </w:rPr>
        <w:t>拟订全县节约用水措施、方法，编制节约用水规划，制定有关标准，组织指导和监督全县节水用水工作。</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（四）</w:t>
      </w:r>
      <w:r>
        <w:rPr>
          <w:rFonts w:hint="eastAsia" w:ascii="仿宋" w:hAnsi="仿宋" w:eastAsia="仿宋" w:cs="仿宋"/>
          <w:sz w:val="32"/>
          <w:szCs w:val="32"/>
        </w:rPr>
        <w:t>组织指导水政监察和水行政执法；协调部门之间和各乡镇间的水事纠纷。</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（五）</w:t>
      </w:r>
      <w:r>
        <w:rPr>
          <w:rFonts w:hint="eastAsia" w:ascii="仿宋" w:hAnsi="仿宋" w:eastAsia="仿宋" w:cs="仿宋"/>
          <w:sz w:val="32"/>
          <w:szCs w:val="32"/>
        </w:rPr>
        <w:t>组织指导全县水利设施的管理与保护；并负责对河道、堤防、行洪共、滞洪区、蓄洪区的综合治理和开发。</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（六）</w:t>
      </w:r>
      <w:r>
        <w:rPr>
          <w:rFonts w:hint="eastAsia" w:ascii="仿宋" w:hAnsi="仿宋" w:eastAsia="仿宋" w:cs="仿宋"/>
          <w:sz w:val="32"/>
          <w:szCs w:val="32"/>
        </w:rPr>
        <w:t>指导管理全县农村水利工作；组织协调农田水利基本建设和节水工程，城乡供水及农村社会化服务体系建设。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（七）</w:t>
      </w:r>
      <w:r>
        <w:rPr>
          <w:rFonts w:hint="eastAsia" w:ascii="仿宋" w:hAnsi="仿宋" w:eastAsia="仿宋" w:cs="仿宋"/>
          <w:sz w:val="32"/>
          <w:szCs w:val="32"/>
        </w:rPr>
        <w:t>承担全县防汛抗旱指挥部的日常工作。组织协调、监督、指导全县防汛抗旱工作，对主要行洪排沥河道和重要水利工程，实施防汛抗旱调度。</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（八）</w:t>
      </w:r>
      <w:r>
        <w:rPr>
          <w:rFonts w:hint="eastAsia" w:ascii="仿宋" w:hAnsi="仿宋" w:eastAsia="仿宋" w:cs="仿宋"/>
          <w:sz w:val="32"/>
          <w:szCs w:val="32"/>
        </w:rPr>
        <w:t>配合有关部门管理全县水利系统安全生产和职工岗位技术等级培训、考核工作。</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（九）</w:t>
      </w:r>
      <w:r>
        <w:rPr>
          <w:rFonts w:hint="eastAsia" w:ascii="仿宋" w:hAnsi="仿宋" w:eastAsia="仿宋" w:cs="仿宋"/>
          <w:sz w:val="32"/>
          <w:szCs w:val="32"/>
        </w:rPr>
        <w:t>按照国家有关政策搞好水务系统国有资产保值增值。</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w:t>
      </w:r>
      <w:r>
        <w:rPr>
          <w:rFonts w:hint="eastAsia" w:ascii="仿宋" w:hAnsi="仿宋" w:eastAsia="仿宋" w:cs="仿宋"/>
          <w:sz w:val="32"/>
          <w:szCs w:val="32"/>
        </w:rPr>
        <w:t>负责全县科技水利培训工作，指导和管理全县水利行业队伍。</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（十一）</w:t>
      </w:r>
      <w:r>
        <w:rPr>
          <w:rFonts w:hint="eastAsia" w:ascii="仿宋" w:hAnsi="仿宋" w:eastAsia="仿宋" w:cs="仿宋"/>
          <w:sz w:val="32"/>
          <w:szCs w:val="32"/>
        </w:rPr>
        <w:t>对全县水利工程建设进行行业管理，负责项目建议书、可行性报告和初步设计的编制、审查申报工作。</w:t>
      </w:r>
    </w:p>
    <w:p>
      <w:pPr>
        <w:autoSpaceDE w:val="0"/>
        <w:autoSpaceDN w:val="0"/>
        <w:snapToGrid w:val="0"/>
        <w:spacing w:line="520" w:lineRule="exact"/>
        <w:ind w:firstLine="640" w:firstLineChars="200"/>
        <w:rPr>
          <w:rFonts w:hint="eastAsia" w:ascii="黑体" w:hAnsi="黑体" w:eastAsia="黑体" w:cs="黑体"/>
          <w:sz w:val="28"/>
          <w:szCs w:val="28"/>
        </w:rPr>
      </w:pPr>
      <w:r>
        <w:rPr>
          <w:rFonts w:hint="eastAsia" w:ascii="仿宋" w:hAnsi="仿宋" w:eastAsia="仿宋" w:cs="仿宋"/>
          <w:sz w:val="32"/>
          <w:szCs w:val="32"/>
          <w:lang w:eastAsia="zh-CN"/>
        </w:rPr>
        <w:t>（十二）</w:t>
      </w:r>
      <w:r>
        <w:rPr>
          <w:rFonts w:hint="eastAsia" w:ascii="仿宋" w:hAnsi="仿宋" w:eastAsia="仿宋" w:cs="仿宋"/>
          <w:sz w:val="32"/>
          <w:szCs w:val="32"/>
        </w:rPr>
        <w:t>承办县政府交办的其它工作。</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jc w:val="center"/>
        </w:trPr>
        <w:tc>
          <w:tcPr>
            <w:tcW w:w="985"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vAlign w:val="top"/>
          </w:tcPr>
          <w:p>
            <w:pPr>
              <w:spacing w:after="0" w:line="560" w:lineRule="exact"/>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水务局局</w:t>
            </w:r>
            <w:r>
              <w:rPr>
                <w:rFonts w:hint="eastAsia" w:ascii="仿宋_GB2312" w:eastAsia="仿宋_GB2312" w:cs="ArialUnicodeMS" w:hAnsiTheme="minorHAnsi"/>
                <w:kern w:val="0"/>
                <w:sz w:val="28"/>
                <w:szCs w:val="28"/>
              </w:rPr>
              <w:t>(本级)</w:t>
            </w:r>
          </w:p>
        </w:tc>
        <w:tc>
          <w:tcPr>
            <w:tcW w:w="2445"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行政单位</w:t>
            </w:r>
          </w:p>
        </w:tc>
        <w:tc>
          <w:tcPr>
            <w:tcW w:w="2665" w:type="dxa"/>
            <w:vAlign w:val="top"/>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lang w:eastAsia="zh-CN"/>
              </w:rPr>
              <w:t>财政拨款</w:t>
            </w:r>
          </w:p>
        </w:tc>
      </w:tr>
    </w:tbl>
    <w:p>
      <w:pPr>
        <w:widowControl/>
        <w:spacing w:line="560" w:lineRule="exact"/>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第二部分</w:t>
      </w:r>
    </w:p>
    <w:p>
      <w:pPr>
        <w:widowControl/>
        <w:spacing w:line="1200" w:lineRule="exact"/>
        <w:jc w:val="center"/>
        <w:rPr>
          <w:color w:val="000000" w:themeColor="text1"/>
          <w:sz w:val="72"/>
          <w:szCs w:val="96"/>
          <w14:textFill>
            <w14:solidFill>
              <w14:schemeClr w14:val="tx1"/>
            </w14:solidFill>
          </w14:textFill>
        </w:rPr>
      </w:pPr>
      <w:r>
        <w:rPr>
          <w:rFonts w:hint="eastAsia" w:hAnsi="宋体" w:asciiTheme="minorEastAsia" w:eastAsiaTheme="minorEastAsia"/>
          <w:color w:val="000000" w:themeColor="text1"/>
          <w:sz w:val="72"/>
          <w:szCs w:val="96"/>
          <w14:textFill>
            <w14:solidFill>
              <w14:schemeClr w14:val="tx1"/>
            </w14:solidFill>
          </w14:textFill>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Ind w:w="0" w:type="dxa"/>
        <w:tblLayout w:type="fixed"/>
        <w:tblCellMar>
          <w:top w:w="0" w:type="dxa"/>
          <w:left w:w="0" w:type="dxa"/>
          <w:bottom w:w="0" w:type="dxa"/>
          <w:right w:w="0" w:type="dxa"/>
        </w:tblCellMar>
      </w:tblPr>
      <w:tblGrid>
        <w:gridCol w:w="2700"/>
        <w:gridCol w:w="567"/>
        <w:gridCol w:w="1336"/>
        <w:gridCol w:w="2700"/>
        <w:gridCol w:w="567"/>
        <w:gridCol w:w="1430"/>
      </w:tblGrid>
      <w:tr>
        <w:tblPrEx>
          <w:tblLayout w:type="fixed"/>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Layout w:type="fixed"/>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Layout w:type="fixed"/>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部门：廊坊市大厂回族自治县水务局（本级）</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Layout w:type="fixed"/>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Layout w:type="fixed"/>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5034.89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41.07</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8.55</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4784.29</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14.15</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5034.89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4848.06</w:t>
            </w:r>
          </w:p>
        </w:tc>
      </w:tr>
      <w:tr>
        <w:tblPrEx>
          <w:tblLayout w:type="fixed"/>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773.59</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960.42</w:t>
            </w:r>
          </w:p>
        </w:tc>
      </w:tr>
      <w:tr>
        <w:tblPrEx>
          <w:tblLayout w:type="fixed"/>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r>
              <w:rPr>
                <w:rFonts w:hint="eastAsia" w:ascii="宋体" w:hAnsi="宋体" w:cs="宋体"/>
                <w:color w:val="000000"/>
                <w:sz w:val="18"/>
                <w:szCs w:val="18"/>
              </w:rPr>
              <w:t>5808.48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r>
              <w:rPr>
                <w:rFonts w:hint="eastAsia" w:ascii="宋体" w:hAnsi="宋体" w:cs="宋体"/>
                <w:color w:val="000000"/>
                <w:sz w:val="20"/>
                <w:szCs w:val="20"/>
              </w:rPr>
              <w:t>5808.48</w:t>
            </w:r>
          </w:p>
        </w:tc>
      </w:tr>
      <w:tr>
        <w:tblPrEx>
          <w:tblLayout w:type="fixed"/>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335"/>
        <w:gridCol w:w="179"/>
        <w:gridCol w:w="520"/>
        <w:gridCol w:w="1412"/>
        <w:gridCol w:w="439"/>
        <w:gridCol w:w="260"/>
        <w:gridCol w:w="231"/>
        <w:gridCol w:w="584"/>
        <w:gridCol w:w="406"/>
        <w:gridCol w:w="410"/>
        <w:gridCol w:w="337"/>
        <w:gridCol w:w="478"/>
        <w:gridCol w:w="442"/>
        <w:gridCol w:w="373"/>
        <w:gridCol w:w="548"/>
        <w:gridCol w:w="920"/>
        <w:gridCol w:w="926"/>
      </w:tblGrid>
      <w:tr>
        <w:tblPrEx>
          <w:tblLayout w:type="fixed"/>
          <w:tblCellMar>
            <w:top w:w="0" w:type="dxa"/>
            <w:left w:w="0" w:type="dxa"/>
            <w:bottom w:w="0" w:type="dxa"/>
            <w:right w:w="0" w:type="dxa"/>
          </w:tblCellMar>
        </w:tblPrEx>
        <w:trPr>
          <w:trHeight w:val="565"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Layout w:type="fixed"/>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1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43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Layout w:type="fixed"/>
          <w:tblCellMar>
            <w:top w:w="0" w:type="dxa"/>
            <w:left w:w="0" w:type="dxa"/>
            <w:bottom w:w="0" w:type="dxa"/>
            <w:right w:w="0" w:type="dxa"/>
          </w:tblCellMar>
        </w:tblPrEx>
        <w:trPr>
          <w:trHeight w:val="362" w:hRule="atLeast"/>
          <w:jc w:val="center"/>
        </w:trPr>
        <w:tc>
          <w:tcPr>
            <w:tcW w:w="288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廊坊市大厂回族自治县水务局（本级）</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5" w:hRule="atLeast"/>
          <w:jc w:val="center"/>
        </w:trPr>
        <w:tc>
          <w:tcPr>
            <w:tcW w:w="2446" w:type="dxa"/>
            <w:gridSpan w:val="4"/>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930" w:type="dxa"/>
            <w:gridSpan w:val="3"/>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9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47"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92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921"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92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926"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Layout w:type="fixed"/>
          <w:tblCellMar>
            <w:top w:w="0" w:type="dxa"/>
            <w:left w:w="0" w:type="dxa"/>
            <w:bottom w:w="0" w:type="dxa"/>
            <w:right w:w="0" w:type="dxa"/>
          </w:tblCellMar>
        </w:tblPrEx>
        <w:trPr>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1412" w:type="dxa"/>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930" w:type="dxa"/>
            <w:gridSpan w:val="3"/>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9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47"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1"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926"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Layout w:type="fixed"/>
          <w:tblCellMar>
            <w:top w:w="0" w:type="dxa"/>
            <w:left w:w="0" w:type="dxa"/>
            <w:bottom w:w="0" w:type="dxa"/>
            <w:right w:w="0" w:type="dxa"/>
          </w:tblCellMar>
        </w:tblPrEx>
        <w:trPr>
          <w:trHeight w:val="391" w:hRule="atLeast"/>
          <w:jc w:val="center"/>
        </w:trPr>
        <w:tc>
          <w:tcPr>
            <w:tcW w:w="24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4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92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92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9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9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Layout w:type="fixed"/>
          <w:tblCellMar>
            <w:top w:w="0" w:type="dxa"/>
            <w:left w:w="0" w:type="dxa"/>
            <w:bottom w:w="0" w:type="dxa"/>
            <w:right w:w="0" w:type="dxa"/>
          </w:tblCellMar>
        </w:tblPrEx>
        <w:trPr>
          <w:trHeight w:val="391" w:hRule="atLeast"/>
          <w:jc w:val="center"/>
        </w:trPr>
        <w:tc>
          <w:tcPr>
            <w:tcW w:w="2446"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30"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i w:val="0"/>
                <w:color w:val="000000"/>
                <w:kern w:val="0"/>
                <w:sz w:val="18"/>
                <w:szCs w:val="18"/>
                <w:u w:val="none"/>
                <w:lang w:val="en-US" w:eastAsia="zh-CN" w:bidi="ar"/>
              </w:rPr>
              <w:t>5,034.89</w:t>
            </w:r>
          </w:p>
        </w:tc>
        <w:tc>
          <w:tcPr>
            <w:tcW w:w="99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hint="eastAsia" w:asciiTheme="majorEastAsia" w:hAnsiTheme="majorEastAsia" w:eastAsiaTheme="majorEastAsia" w:cstheme="majorEastAsia"/>
                <w:b/>
                <w:color w:val="000000"/>
                <w:sz w:val="18"/>
                <w:szCs w:val="18"/>
              </w:rPr>
            </w:pPr>
            <w:r>
              <w:rPr>
                <w:rFonts w:hint="eastAsia" w:asciiTheme="majorEastAsia" w:hAnsiTheme="majorEastAsia" w:eastAsiaTheme="majorEastAsia" w:cstheme="majorEastAsia"/>
                <w:b/>
                <w:i w:val="0"/>
                <w:color w:val="000000"/>
                <w:kern w:val="0"/>
                <w:sz w:val="18"/>
                <w:szCs w:val="18"/>
                <w:u w:val="none"/>
                <w:lang w:val="en-US" w:eastAsia="zh-CN" w:bidi="ar"/>
              </w:rPr>
              <w:t>5,034.89</w:t>
            </w:r>
          </w:p>
        </w:tc>
        <w:tc>
          <w:tcPr>
            <w:tcW w:w="74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1"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926"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Layout w:type="fixed"/>
          <w:tblCellMar>
            <w:top w:w="0" w:type="dxa"/>
            <w:left w:w="0" w:type="dxa"/>
            <w:bottom w:w="0" w:type="dxa"/>
            <w:right w:w="0" w:type="dxa"/>
          </w:tblCellMar>
        </w:tblPrEx>
        <w:trPr>
          <w:trHeight w:val="623"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社会保障和就业支出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eastAsia="zh-CN"/>
              </w:rPr>
            </w:pPr>
            <w:r>
              <w:rPr>
                <w:rFonts w:hint="eastAsia" w:ascii="宋体" w:hAnsi="宋体" w:cs="宋体"/>
                <w:color w:val="000000"/>
                <w:sz w:val="20"/>
                <w:szCs w:val="20"/>
                <w:lang w:val="en-US" w:eastAsia="zh-CN"/>
              </w:rPr>
              <w:t>41.07</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41.07</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90"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行政事业单位离退休</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2080505</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 xml:space="preserve">  机关事业单位基本养老保险缴费支出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20822</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大中型水库移民后期扶持基金支出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2082201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 xml:space="preserve">  移民补助</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20823</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小型水库移民扶助基金及对应专项债务收入安排的支出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2082399</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 xml:space="preserve">  其他小型水库移民扶助基金支出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医疗卫生与计划生育支出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行政事业单位医疗</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2101101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cs="宋体"/>
                <w:color w:val="000000"/>
                <w:sz w:val="18"/>
                <w:szCs w:val="18"/>
                <w:lang w:eastAsia="zh-CN"/>
              </w:rPr>
            </w:pPr>
            <w:r>
              <w:rPr>
                <w:rFonts w:hint="eastAsia" w:ascii="宋体" w:hAnsi="宋体" w:cs="宋体"/>
                <w:color w:val="000000"/>
                <w:sz w:val="18"/>
                <w:szCs w:val="18"/>
                <w:lang w:val="en-US" w:eastAsia="zh-CN"/>
              </w:rPr>
              <w:t xml:space="preserve">  行政单位医疗</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213</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农林水支出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4,971.12</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4,971.12</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水利</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4,952.12</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4,952.12</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2130301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行政运行</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605.72</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605.72</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2130304</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水利行业业务管理</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26.00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26.00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2130305</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水利工程建设</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3,602.27</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3,602.27</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2130306</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水利工程运行与维护</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161.12</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161.12</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2130308</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水利前期工作</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316.26</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316.26</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2130309</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水利执法监督</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9.00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9.00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2130311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水资源节约管理与保护</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22.50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22.50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2130314</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防汛</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41.51</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41.51</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2130316</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农田水利</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41.80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41.80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2130321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大中型水库移民后期扶持专项支出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3.45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3.45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2130399</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其他水利支出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122.50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122.50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21399</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其他农林水支出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19.00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19.00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2139999</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其他农林水支出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19.00</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19.00</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221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住房保障支出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14.15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14.15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22102</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住房改革支出</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14.15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14.15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39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default" w:ascii="宋体" w:hAnsi="宋体" w:cs="宋体"/>
                <w:color w:val="000000"/>
                <w:kern w:val="0"/>
                <w:sz w:val="18"/>
                <w:szCs w:val="18"/>
                <w:lang w:val="en-US"/>
              </w:rPr>
            </w:pPr>
            <w:r>
              <w:rPr>
                <w:rFonts w:hint="eastAsia" w:ascii="宋体" w:hAnsi="宋体" w:cs="宋体"/>
                <w:color w:val="000000"/>
                <w:kern w:val="0"/>
                <w:sz w:val="18"/>
                <w:szCs w:val="18"/>
                <w:lang w:val="en-US" w:eastAsia="zh-CN"/>
              </w:rPr>
              <w:t>2210201</w:t>
            </w:r>
          </w:p>
        </w:tc>
        <w:tc>
          <w:tcPr>
            <w:tcW w:w="141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 w:val="18"/>
                <w:szCs w:val="18"/>
                <w:lang w:val="en-US" w:eastAsia="zh-CN"/>
              </w:rPr>
            </w:pPr>
            <w:r>
              <w:rPr>
                <w:rFonts w:hint="eastAsia" w:ascii="宋体" w:hAnsi="宋体" w:cs="宋体"/>
                <w:color w:val="000000"/>
                <w:sz w:val="18"/>
                <w:szCs w:val="18"/>
                <w:lang w:val="en-US" w:eastAsia="zh-CN"/>
              </w:rPr>
              <w:t xml:space="preserve">  住房公积金</w:t>
            </w:r>
          </w:p>
        </w:tc>
        <w:tc>
          <w:tcPr>
            <w:tcW w:w="930"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14.15</w:t>
            </w:r>
          </w:p>
        </w:tc>
        <w:tc>
          <w:tcPr>
            <w:tcW w:w="99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lang w:val="en-US"/>
              </w:rPr>
            </w:pPr>
            <w:r>
              <w:rPr>
                <w:rFonts w:hint="eastAsia" w:ascii="宋体" w:hAnsi="宋体" w:cs="宋体"/>
                <w:color w:val="000000"/>
                <w:sz w:val="20"/>
                <w:szCs w:val="20"/>
                <w:lang w:val="en-US" w:eastAsia="zh-CN"/>
              </w:rPr>
              <w:t>14.15</w:t>
            </w:r>
          </w:p>
        </w:tc>
        <w:tc>
          <w:tcPr>
            <w:tcW w:w="74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c>
          <w:tcPr>
            <w:tcW w:w="9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color w:val="000000"/>
                <w:szCs w:val="21"/>
                <w:lang w:val="en-US"/>
              </w:rPr>
            </w:pPr>
          </w:p>
        </w:tc>
      </w:tr>
      <w:tr>
        <w:tblPrEx>
          <w:tblLayout w:type="fixed"/>
          <w:tblCellMar>
            <w:top w:w="0" w:type="dxa"/>
            <w:left w:w="0" w:type="dxa"/>
            <w:bottom w:w="0" w:type="dxa"/>
            <w:right w:w="0" w:type="dxa"/>
          </w:tblCellMar>
        </w:tblPrEx>
        <w:trPr>
          <w:trHeight w:val="481" w:hRule="atLeast"/>
          <w:jc w:val="center"/>
        </w:trPr>
        <w:tc>
          <w:tcPr>
            <w:tcW w:w="88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000" w:type="dxa"/>
        <w:tblInd w:w="0" w:type="dxa"/>
        <w:tblLayout w:type="fixed"/>
        <w:tblCellMar>
          <w:top w:w="0" w:type="dxa"/>
          <w:left w:w="0" w:type="dxa"/>
          <w:bottom w:w="0" w:type="dxa"/>
          <w:right w:w="0" w:type="dxa"/>
        </w:tblCellMar>
      </w:tblPr>
      <w:tblGrid>
        <w:gridCol w:w="290"/>
        <w:gridCol w:w="289"/>
        <w:gridCol w:w="803"/>
        <w:gridCol w:w="1117"/>
        <w:gridCol w:w="647"/>
        <w:gridCol w:w="436"/>
        <w:gridCol w:w="682"/>
        <w:gridCol w:w="402"/>
        <w:gridCol w:w="718"/>
        <w:gridCol w:w="365"/>
        <w:gridCol w:w="753"/>
        <w:gridCol w:w="331"/>
        <w:gridCol w:w="789"/>
        <w:gridCol w:w="294"/>
        <w:gridCol w:w="1084"/>
      </w:tblGrid>
      <w:tr>
        <w:tblPrEx>
          <w:tblLayout w:type="fixed"/>
          <w:tblCellMar>
            <w:top w:w="0" w:type="dxa"/>
            <w:left w:w="0" w:type="dxa"/>
            <w:bottom w:w="0" w:type="dxa"/>
            <w:right w:w="0" w:type="dxa"/>
          </w:tblCellMar>
        </w:tblPrEx>
        <w:trPr>
          <w:trHeight w:val="79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Layout w:type="fixed"/>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4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Layout w:type="fixed"/>
          <w:tblCellMar>
            <w:top w:w="0" w:type="dxa"/>
            <w:left w:w="0" w:type="dxa"/>
            <w:bottom w:w="0" w:type="dxa"/>
            <w:right w:w="0" w:type="dxa"/>
          </w:tblCellMar>
        </w:tblPrEx>
        <w:trPr>
          <w:trHeight w:val="380" w:hRule="atLeast"/>
        </w:trPr>
        <w:tc>
          <w:tcPr>
            <w:tcW w:w="3146"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廊坊市大厂回族自治县水务局（本级）</w:t>
            </w: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49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837" w:hRule="atLeast"/>
        </w:trPr>
        <w:tc>
          <w:tcPr>
            <w:tcW w:w="2499"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084"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1083"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1084"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Layout w:type="fixed"/>
          <w:tblCellMar>
            <w:top w:w="0" w:type="dxa"/>
            <w:left w:w="0" w:type="dxa"/>
            <w:bottom w:w="0" w:type="dxa"/>
            <w:right w:w="0" w:type="dxa"/>
          </w:tblCellMar>
        </w:tblPrEx>
        <w:trPr>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3"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84"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95"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084"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083"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08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40" w:hRule="atLeast"/>
        </w:trPr>
        <w:tc>
          <w:tcPr>
            <w:tcW w:w="2499"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4,848.06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580.52</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right"/>
              <w:textAlignment w:val="center"/>
              <w:rPr>
                <w:rFonts w:ascii="宋体" w:hAnsi="宋体" w:cs="宋体"/>
                <w:b/>
                <w:color w:val="000000"/>
                <w:szCs w:val="21"/>
              </w:rPr>
            </w:pPr>
            <w:r>
              <w:rPr>
                <w:rFonts w:hint="eastAsia" w:ascii="宋体" w:hAnsi="宋体" w:eastAsia="宋体" w:cs="宋体"/>
                <w:b/>
                <w:i w:val="0"/>
                <w:color w:val="000000"/>
                <w:kern w:val="0"/>
                <w:sz w:val="22"/>
                <w:szCs w:val="22"/>
                <w:u w:val="none"/>
                <w:lang w:val="en-US" w:eastAsia="zh-CN" w:bidi="ar"/>
              </w:rPr>
              <w:t>4,267.54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社会保障和就业支出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41.07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17.49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行政事业单位离退休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2080505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机关事业单位基本养老保险缴费支出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23.58</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20822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大中型水库移民后期扶持基金支出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2082201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移民补助</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0.99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20823</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小型水库移民扶助基金及对应专项债务收入安排的支出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2082399</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其他小型水库移民扶助基金支出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16.50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医疗卫生与计划生育支出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行政事业单位医疗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2101101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行政单位医疗</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8.55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农林水支出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4,784.29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534.24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4,250.05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水利</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4,784.29</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534.24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4,250.05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行政运行</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571.17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534.24</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36.93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2130304</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水利行业业务管理</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21.82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21.82</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2130305</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水利工程建设</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3,172.53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3,172.53</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2130306</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水利工程运行与维护</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127.84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127.84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2130308</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水利前期工作</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158.86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158.86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2130309</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水利执法监督</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8.98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8.98</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2130311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水资源节约管理与保护</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1.80</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2130314</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防汛</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49.24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49.24</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2130316</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农田水利</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620.37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620.37</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2130321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大中型水库移民后期扶持专项支出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2.46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2.46</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2130399</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其他水利支出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49.21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49.21</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住房保障支出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14.15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14.15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22102</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住房改革支出</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14.15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14.15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130"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2210201</w:t>
            </w:r>
          </w:p>
        </w:tc>
        <w:tc>
          <w:tcPr>
            <w:tcW w:w="111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left"/>
              <w:textAlignment w:val="center"/>
              <w:rPr>
                <w:rFonts w:hint="eastAsia" w:ascii="宋体" w:hAnsi="宋体" w:cs="宋体"/>
                <w:color w:val="000000"/>
                <w:kern w:val="0"/>
                <w:sz w:val="20"/>
                <w:szCs w:val="20"/>
              </w:rPr>
            </w:pPr>
            <w:r>
              <w:rPr>
                <w:rFonts w:hint="eastAsia" w:ascii="宋体" w:hAnsi="宋体" w:cs="宋体"/>
                <w:color w:val="000000"/>
                <w:kern w:val="0"/>
                <w:sz w:val="20"/>
                <w:szCs w:val="20"/>
                <w:lang w:val="en-US" w:eastAsia="zh-CN"/>
              </w:rPr>
              <w:t xml:space="preserve">  住房公积金</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14.15</w:t>
            </w: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r>
              <w:rPr>
                <w:rFonts w:hint="eastAsia" w:ascii="宋体" w:hAnsi="宋体" w:cs="宋体"/>
                <w:color w:val="000000"/>
                <w:sz w:val="20"/>
                <w:szCs w:val="20"/>
                <w:lang w:val="en-US" w:eastAsia="zh-CN"/>
              </w:rPr>
              <w:t>14.15</w:t>
            </w: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eastAsia" w:ascii="宋体" w:hAnsi="宋体" w:cs="宋体"/>
                <w:color w:val="000000"/>
                <w:sz w:val="20"/>
                <w:szCs w:val="20"/>
              </w:rPr>
            </w:pPr>
          </w:p>
        </w:tc>
        <w:tc>
          <w:tcPr>
            <w:tcW w:w="1084"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8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748" w:hRule="atLeast"/>
        </w:trPr>
        <w:tc>
          <w:tcPr>
            <w:tcW w:w="9000" w:type="dxa"/>
            <w:gridSpan w:val="1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Layout w:type="fixed"/>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Layout w:type="fixed"/>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Layout w:type="fixed"/>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部门：廊坊市大厂回族自治县水务局（本级）</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Layout w:type="fixed"/>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5017.4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17.49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41.07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23.58</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17.49</w:t>
            </w: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8.55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4783.05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4783.05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14.15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14.15</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5034.89</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4846.81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4829.32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17.47</w:t>
            </w: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772.34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960.42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960.42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772.34</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Layout w:type="fixed"/>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r>
              <w:rPr>
                <w:rFonts w:hint="eastAsia" w:ascii="宋体" w:hAnsi="宋体" w:cs="宋体"/>
                <w:color w:val="000000"/>
                <w:sz w:val="18"/>
                <w:szCs w:val="18"/>
              </w:rPr>
              <w:t>5807.23</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5807.23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5789.74</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17.49</w:t>
            </w:r>
          </w:p>
        </w:tc>
      </w:tr>
      <w:tr>
        <w:tblPrEx>
          <w:tblLayout w:type="fixed"/>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780" w:type="dxa"/>
        <w:tblInd w:w="0" w:type="dxa"/>
        <w:tblLayout w:type="fixed"/>
        <w:tblCellMar>
          <w:top w:w="0" w:type="dxa"/>
          <w:left w:w="0" w:type="dxa"/>
          <w:bottom w:w="0" w:type="dxa"/>
          <w:right w:w="0" w:type="dxa"/>
        </w:tblCellMar>
      </w:tblPr>
      <w:tblGrid>
        <w:gridCol w:w="314"/>
        <w:gridCol w:w="316"/>
        <w:gridCol w:w="354"/>
        <w:gridCol w:w="2090"/>
        <w:gridCol w:w="738"/>
        <w:gridCol w:w="1164"/>
        <w:gridCol w:w="712"/>
        <w:gridCol w:w="1189"/>
        <w:gridCol w:w="1903"/>
      </w:tblGrid>
      <w:tr>
        <w:tblPrEx>
          <w:tblLayout w:type="fixed"/>
          <w:tblCellMar>
            <w:top w:w="0" w:type="dxa"/>
            <w:left w:w="0" w:type="dxa"/>
            <w:bottom w:w="0" w:type="dxa"/>
            <w:right w:w="0" w:type="dxa"/>
          </w:tblCellMar>
        </w:tblPrEx>
        <w:trPr>
          <w:trHeight w:val="649" w:hRule="atLeast"/>
        </w:trPr>
        <w:tc>
          <w:tcPr>
            <w:tcW w:w="878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Layout w:type="fixed"/>
          <w:tblCellMar>
            <w:top w:w="0" w:type="dxa"/>
            <w:left w:w="0" w:type="dxa"/>
            <w:bottom w:w="0" w:type="dxa"/>
            <w:right w:w="0" w:type="dxa"/>
          </w:tblCellMar>
        </w:tblPrEx>
        <w:trPr>
          <w:trHeight w:val="332" w:hRule="atLeast"/>
        </w:trPr>
        <w:tc>
          <w:tcPr>
            <w:tcW w:w="31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0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3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7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Layout w:type="fixed"/>
          <w:tblCellMar>
            <w:top w:w="0" w:type="dxa"/>
            <w:left w:w="0" w:type="dxa"/>
            <w:bottom w:w="0" w:type="dxa"/>
            <w:right w:w="0" w:type="dxa"/>
          </w:tblCellMar>
        </w:tblPrEx>
        <w:trPr>
          <w:trHeight w:val="448" w:hRule="atLeast"/>
        </w:trPr>
        <w:tc>
          <w:tcPr>
            <w:tcW w:w="3812"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廊坊市大厂回族自治县水务局（本级）</w:t>
            </w:r>
          </w:p>
        </w:tc>
        <w:tc>
          <w:tcPr>
            <w:tcW w:w="1876"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0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42" w:hRule="atLeast"/>
        </w:trPr>
        <w:tc>
          <w:tcPr>
            <w:tcW w:w="307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706"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Layout w:type="fixed"/>
          <w:tblCellMar>
            <w:top w:w="0" w:type="dxa"/>
            <w:left w:w="0" w:type="dxa"/>
            <w:bottom w:w="0" w:type="dxa"/>
            <w:right w:w="0" w:type="dxa"/>
          </w:tblCellMar>
        </w:tblPrEx>
        <w:trPr>
          <w:trHeight w:val="342" w:hRule="atLeast"/>
        </w:trPr>
        <w:tc>
          <w:tcPr>
            <w:tcW w:w="984"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功能分类科目编码</w:t>
            </w:r>
          </w:p>
        </w:tc>
        <w:tc>
          <w:tcPr>
            <w:tcW w:w="2090"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科目名称</w:t>
            </w:r>
          </w:p>
        </w:tc>
        <w:tc>
          <w:tcPr>
            <w:tcW w:w="1902"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小计</w:t>
            </w:r>
          </w:p>
        </w:tc>
        <w:tc>
          <w:tcPr>
            <w:tcW w:w="1901"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基本支出</w:t>
            </w:r>
          </w:p>
        </w:tc>
        <w:tc>
          <w:tcPr>
            <w:tcW w:w="190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项目支出</w:t>
            </w:r>
          </w:p>
        </w:tc>
      </w:tr>
      <w:tr>
        <w:tblPrEx>
          <w:tblLayout w:type="fixed"/>
          <w:tblCellMar>
            <w:top w:w="0" w:type="dxa"/>
            <w:left w:w="0" w:type="dxa"/>
            <w:bottom w:w="0" w:type="dxa"/>
            <w:right w:w="0" w:type="dxa"/>
          </w:tblCellMar>
        </w:tblPrEx>
        <w:trPr>
          <w:trHeight w:val="342" w:hRule="atLeast"/>
        </w:trPr>
        <w:tc>
          <w:tcPr>
            <w:tcW w:w="98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09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42" w:hRule="atLeast"/>
        </w:trPr>
        <w:tc>
          <w:tcPr>
            <w:tcW w:w="984"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090"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02"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01"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0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42" w:hRule="atLeast"/>
        </w:trPr>
        <w:tc>
          <w:tcPr>
            <w:tcW w:w="307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栏次</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Layout w:type="fixed"/>
          <w:tblCellMar>
            <w:top w:w="0" w:type="dxa"/>
            <w:left w:w="0" w:type="dxa"/>
            <w:bottom w:w="0" w:type="dxa"/>
            <w:right w:w="0" w:type="dxa"/>
          </w:tblCellMar>
        </w:tblPrEx>
        <w:trPr>
          <w:trHeight w:val="342" w:hRule="atLeast"/>
        </w:trPr>
        <w:tc>
          <w:tcPr>
            <w:tcW w:w="3074"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合计</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4,829.32</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580.52</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4,248.81</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社会保障和就业支出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23.58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23.58</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行政事业单位离退休</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23.58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23.58</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659"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2080505</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机关事业单位基本养老保险缴费支出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23.58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23.58</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医疗卫生与计划生育支出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行政事业单位医疗</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2101101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行政单位医疗</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8.55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农林水支出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4,783.05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534.24</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4,248.81</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水利</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4,783.05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534.24</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4,248.81</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行政运行</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571.17</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534.24</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36.93</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2130304</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水利行业业务管理</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21.82</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21.82</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2130305</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水利工程建设</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3,172.53</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3,172.53</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2130306</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水利工程运行与维护</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127.84</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127.84</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2130308</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水利前期工作</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157.61</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157.61</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2130309</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水利执法监督</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8.98</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8.98</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2130311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水资源节约管理与保护</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1.80</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2130314</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防汛</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49.24</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49.24</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2130316</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农田水利</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620.37</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620.37</w:t>
            </w:r>
          </w:p>
        </w:tc>
      </w:tr>
      <w:tr>
        <w:tblPrEx>
          <w:tblLayout w:type="fixed"/>
          <w:tblCellMar>
            <w:top w:w="0" w:type="dxa"/>
            <w:left w:w="0" w:type="dxa"/>
            <w:bottom w:w="0" w:type="dxa"/>
            <w:right w:w="0" w:type="dxa"/>
          </w:tblCellMar>
        </w:tblPrEx>
        <w:trPr>
          <w:trHeight w:val="659"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2130321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大中型水库移民后期扶持专项支出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2.46</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2.46</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2130399</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其他水利支出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49.21</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49.21</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住房保障支出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22102</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住房改革支出</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98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2210201</w:t>
            </w:r>
          </w:p>
        </w:tc>
        <w:tc>
          <w:tcPr>
            <w:tcW w:w="209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val="en-US" w:eastAsia="zh-CN"/>
              </w:rPr>
              <w:t xml:space="preserve">  住房公积金</w:t>
            </w:r>
          </w:p>
        </w:tc>
        <w:tc>
          <w:tcPr>
            <w:tcW w:w="190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14.15</w:t>
            </w:r>
          </w:p>
        </w:tc>
        <w:tc>
          <w:tcPr>
            <w:tcW w:w="1901"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14.15</w:t>
            </w:r>
          </w:p>
        </w:tc>
        <w:tc>
          <w:tcPr>
            <w:tcW w:w="19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r>
      <w:tr>
        <w:tblPrEx>
          <w:tblLayout w:type="fixed"/>
          <w:tblCellMar>
            <w:top w:w="0" w:type="dxa"/>
            <w:left w:w="0" w:type="dxa"/>
            <w:bottom w:w="0" w:type="dxa"/>
            <w:right w:w="0" w:type="dxa"/>
          </w:tblCellMar>
        </w:tblPrEx>
        <w:trPr>
          <w:trHeight w:val="342" w:hRule="atLeast"/>
        </w:trPr>
        <w:tc>
          <w:tcPr>
            <w:tcW w:w="87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740" w:type="dxa"/>
        <w:jc w:val="center"/>
        <w:tblInd w:w="0" w:type="dxa"/>
        <w:tblLayout w:type="fixed"/>
        <w:tblCellMar>
          <w:top w:w="0" w:type="dxa"/>
          <w:left w:w="0" w:type="dxa"/>
          <w:bottom w:w="0" w:type="dxa"/>
          <w:right w:w="0" w:type="dxa"/>
        </w:tblCellMar>
      </w:tblPr>
      <w:tblGrid>
        <w:gridCol w:w="529"/>
        <w:gridCol w:w="1519"/>
        <w:gridCol w:w="797"/>
        <w:gridCol w:w="452"/>
        <w:gridCol w:w="1675"/>
        <w:gridCol w:w="3"/>
        <w:gridCol w:w="700"/>
        <w:gridCol w:w="2"/>
        <w:gridCol w:w="531"/>
        <w:gridCol w:w="1699"/>
        <w:gridCol w:w="833"/>
      </w:tblGrid>
      <w:tr>
        <w:tblPrEx>
          <w:tblLayout w:type="fixed"/>
          <w:tblCellMar>
            <w:top w:w="0" w:type="dxa"/>
            <w:left w:w="0" w:type="dxa"/>
            <w:bottom w:w="0" w:type="dxa"/>
            <w:right w:w="0" w:type="dxa"/>
          </w:tblCellMar>
        </w:tblPrEx>
        <w:trPr>
          <w:trHeight w:val="90" w:hRule="atLeast"/>
          <w:jc w:val="center"/>
        </w:trPr>
        <w:tc>
          <w:tcPr>
            <w:tcW w:w="874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19"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9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5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678"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3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53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Layout w:type="fixed"/>
          <w:tblCellMar>
            <w:top w:w="0" w:type="dxa"/>
            <w:left w:w="0" w:type="dxa"/>
            <w:bottom w:w="0" w:type="dxa"/>
            <w:right w:w="0" w:type="dxa"/>
          </w:tblCellMar>
        </w:tblPrEx>
        <w:trPr>
          <w:trHeight w:val="90" w:hRule="atLeast"/>
          <w:jc w:val="center"/>
        </w:trPr>
        <w:tc>
          <w:tcPr>
            <w:tcW w:w="4975" w:type="dxa"/>
            <w:gridSpan w:val="6"/>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r>
              <w:rPr>
                <w:rFonts w:hint="eastAsia" w:ascii="宋体" w:hAnsi="宋体" w:cs="宋体"/>
                <w:color w:val="000000"/>
                <w:kern w:val="0"/>
                <w:sz w:val="20"/>
                <w:szCs w:val="20"/>
              </w:rPr>
              <w:t>廊坊市大厂回族自治县水务局（本级）</w:t>
            </w:r>
          </w:p>
        </w:tc>
        <w:tc>
          <w:tcPr>
            <w:tcW w:w="70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31"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532"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90" w:hRule="atLeast"/>
          <w:jc w:val="center"/>
        </w:trPr>
        <w:tc>
          <w:tcPr>
            <w:tcW w:w="284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5895" w:type="dxa"/>
            <w:gridSpan w:val="8"/>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Layout w:type="fixed"/>
          <w:tblCellMar>
            <w:top w:w="0" w:type="dxa"/>
            <w:left w:w="0" w:type="dxa"/>
            <w:bottom w:w="0" w:type="dxa"/>
            <w:right w:w="0" w:type="dxa"/>
          </w:tblCellMar>
        </w:tblPrEx>
        <w:trPr>
          <w:trHeight w:val="312" w:hRule="atLeast"/>
          <w:jc w:val="center"/>
        </w:trPr>
        <w:tc>
          <w:tcPr>
            <w:tcW w:w="529"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1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5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675"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0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33"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699"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3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312" w:hRule="atLeast"/>
          <w:jc w:val="center"/>
        </w:trPr>
        <w:tc>
          <w:tcPr>
            <w:tcW w:w="529"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1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5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75"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0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33"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699"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3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428.76</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55.91</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129.30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6.63</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113.99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3.49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0.70</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2.45</w:t>
            </w: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0.01</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83.32</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0.65</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48.35</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1.96</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9.91</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12.57</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17.22</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6.86</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2.28</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0.60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0.36</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14.99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0.73</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7.59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93.40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1.47</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0.04</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42.67</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6.29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0.70</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3.00</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39.89</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3.10</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0.00</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7.50</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4.56</w:t>
            </w: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7.36</w:t>
            </w: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529"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1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45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67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0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33"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699"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Layout w:type="fixed"/>
          <w:tblCellMar>
            <w:top w:w="0" w:type="dxa"/>
            <w:left w:w="0" w:type="dxa"/>
            <w:bottom w:w="0" w:type="dxa"/>
            <w:right w:w="0" w:type="dxa"/>
          </w:tblCellMar>
        </w:tblPrEx>
        <w:trPr>
          <w:trHeight w:val="90" w:hRule="atLeast"/>
          <w:jc w:val="center"/>
        </w:trPr>
        <w:tc>
          <w:tcPr>
            <w:tcW w:w="2048"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79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522.15</w:t>
            </w:r>
          </w:p>
        </w:tc>
        <w:tc>
          <w:tcPr>
            <w:tcW w:w="5062"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3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58.36</w:t>
            </w:r>
          </w:p>
        </w:tc>
      </w:tr>
      <w:tr>
        <w:tblPrEx>
          <w:tblLayout w:type="fixed"/>
          <w:tblCellMar>
            <w:top w:w="0" w:type="dxa"/>
            <w:left w:w="0" w:type="dxa"/>
            <w:bottom w:w="0" w:type="dxa"/>
            <w:right w:w="0" w:type="dxa"/>
          </w:tblCellMar>
        </w:tblPrEx>
        <w:trPr>
          <w:trHeight w:val="90" w:hRule="atLeast"/>
          <w:jc w:val="center"/>
        </w:trPr>
        <w:tc>
          <w:tcPr>
            <w:tcW w:w="874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134" w:left="1588" w:header="851" w:footer="992" w:gutter="0"/>
          <w:cols w:space="0" w:num="1"/>
          <w:docGrid w:type="lines" w:linePitch="312" w:charSpace="0"/>
        </w:sectPr>
      </w:pPr>
    </w:p>
    <w:tbl>
      <w:tblPr>
        <w:tblStyle w:val="12"/>
        <w:tblW w:w="8800" w:type="dxa"/>
        <w:jc w:val="center"/>
        <w:tblInd w:w="0" w:type="dxa"/>
        <w:tblLayout w:type="fixed"/>
        <w:tblCellMar>
          <w:top w:w="0" w:type="dxa"/>
          <w:left w:w="0" w:type="dxa"/>
          <w:bottom w:w="0" w:type="dxa"/>
          <w:right w:w="0" w:type="dxa"/>
        </w:tblCellMar>
      </w:tblPr>
      <w:tblGrid>
        <w:gridCol w:w="1158"/>
        <w:gridCol w:w="1527"/>
        <w:gridCol w:w="1528"/>
        <w:gridCol w:w="1530"/>
        <w:gridCol w:w="1530"/>
        <w:gridCol w:w="1527"/>
      </w:tblGrid>
      <w:tr>
        <w:tblPrEx>
          <w:tblLayout w:type="fixed"/>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Layout w:type="fixed"/>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Layout w:type="fixed"/>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部门：廊坊市大厂回族自治县水务局（本级）</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Layout w:type="fixed"/>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7.8</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0.3</w:t>
            </w:r>
          </w:p>
        </w:tc>
      </w:tr>
      <w:tr>
        <w:tblPrEx>
          <w:tblLayout w:type="fixed"/>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Layout w:type="fixed"/>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Layout w:type="fixed"/>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Layout w:type="fixed"/>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7.5</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0.04</w:t>
            </w:r>
          </w:p>
        </w:tc>
      </w:tr>
      <w:tr>
        <w:tblPrEx>
          <w:tblLayout w:type="fixed"/>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Layout w:type="fixed"/>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Layout w:type="fixed"/>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Layout w:type="fixed"/>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r>
              <w:rPr>
                <w:rFonts w:hint="eastAsia" w:ascii="宋体" w:hAnsi="宋体" w:cs="宋体"/>
                <w:color w:val="000000"/>
                <w:kern w:val="0"/>
                <w:sz w:val="20"/>
                <w:szCs w:val="20"/>
              </w:rPr>
              <w:t>廊坊市大厂回族自治县水务局（本级）</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Layout w:type="fixed"/>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17.49</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17.49</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17.49</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社会保障和就业支出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17.49</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17.49</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17.49</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20822</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大中型水库移民后期扶持基金支出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0.99</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0.99</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0.99</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2082201</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移民补助</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0.99</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0.99</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0.99</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20823</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小型水库移民扶助基金及对应专项债务收入安排的支出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16.50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16.50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16.50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2082399</w:t>
            </w: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hint="eastAsia" w:ascii="宋体" w:hAnsi="宋体" w:cs="宋体"/>
                <w:color w:val="000000"/>
                <w:kern w:val="0"/>
                <w:sz w:val="18"/>
                <w:szCs w:val="18"/>
                <w:lang w:val="en-US" w:eastAsia="zh-CN"/>
              </w:rPr>
            </w:pPr>
            <w:r>
              <w:rPr>
                <w:rFonts w:hint="eastAsia" w:ascii="宋体" w:hAnsi="宋体" w:cs="宋体"/>
                <w:color w:val="000000"/>
                <w:kern w:val="0"/>
                <w:sz w:val="18"/>
                <w:szCs w:val="18"/>
                <w:lang w:val="en-US" w:eastAsia="zh-CN"/>
              </w:rPr>
              <w:t xml:space="preserve">  其他小型水库移民扶助基金支出</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16.50</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16.50</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16.50</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注：本表反映部门本年度政府性基金预算财政拨款收入、支出及结转和结余情况。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Layout w:type="fixed"/>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Layout w:type="fixed"/>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Layout w:type="fixed"/>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r>
              <w:rPr>
                <w:rFonts w:hint="eastAsia" w:ascii="宋体" w:hAnsi="宋体" w:cs="宋体"/>
                <w:color w:val="000000"/>
                <w:kern w:val="0"/>
                <w:sz w:val="20"/>
                <w:szCs w:val="20"/>
              </w:rPr>
              <w:t>廊坊市大厂回族自治县水务局（本级）</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Layout w:type="fixed"/>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Layout w:type="fixed"/>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Layout w:type="fixed"/>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Layout w:type="fixed"/>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 w:val="22"/>
                <w:szCs w:val="22"/>
                <w:lang w:eastAsia="zh-CN"/>
              </w:rPr>
              <w:t>本部门本年度无</w:t>
            </w:r>
            <w:r>
              <w:rPr>
                <w:rFonts w:hint="eastAsia" w:ascii="宋体" w:hAnsi="宋体" w:cs="宋体"/>
                <w:color w:val="000000"/>
                <w:kern w:val="0"/>
                <w:sz w:val="22"/>
                <w:szCs w:val="22"/>
              </w:rPr>
              <w:t>国有资本经营预算财政拨款支出情况。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Layout w:type="fixed"/>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Layout w:type="fixed"/>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Layout w:type="fixed"/>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r>
              <w:rPr>
                <w:rFonts w:hint="eastAsia" w:ascii="宋体" w:hAnsi="宋体" w:cs="宋体"/>
                <w:color w:val="000000"/>
                <w:kern w:val="0"/>
                <w:sz w:val="20"/>
                <w:szCs w:val="20"/>
              </w:rPr>
              <w:t>廊坊市大厂回族自治县水务局（本级）</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Layout w:type="fixed"/>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Layout w:type="fixed"/>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1,837.91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1,837.91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1,837.91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744.10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744.10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744.10</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1,093.81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1,093.81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1,093.81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Layout w:type="fixed"/>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Layout w:type="fixed"/>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Layout w:type="fixed"/>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1,765.65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1,765.65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1,765.65</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672.56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672.56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672.56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1,093.09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1,093.09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r>
              <w:rPr>
                <w:rFonts w:hint="eastAsia" w:ascii="宋体" w:hAnsi="宋体" w:cs="宋体"/>
                <w:color w:val="000000"/>
                <w:sz w:val="18"/>
                <w:szCs w:val="18"/>
                <w:lang w:val="en-US" w:eastAsia="zh-CN"/>
              </w:rPr>
              <w:t>1,093.09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eastAsia" w:ascii="宋体" w:hAnsi="宋体" w:cs="宋体"/>
                <w:color w:val="000000"/>
                <w:sz w:val="18"/>
                <w:szCs w:val="18"/>
                <w:lang w:val="en-US" w:eastAsia="zh-CN"/>
              </w:rPr>
            </w:pPr>
          </w:p>
        </w:tc>
      </w:tr>
      <w:tr>
        <w:tblPrEx>
          <w:tblLayout w:type="fixed"/>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Layout w:type="fixed"/>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第三部分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5808.48</w:t>
      </w:r>
      <w:r>
        <w:rPr>
          <w:rFonts w:hint="eastAsia" w:ascii="仿宋_GB2312" w:eastAsia="仿宋_GB2312" w:cs="DengXian-Regular"/>
          <w:sz w:val="32"/>
          <w:szCs w:val="32"/>
        </w:rPr>
        <w:t>万元。与2017年度决算相比，收支各增加</w:t>
      </w:r>
      <w:r>
        <w:rPr>
          <w:rFonts w:hint="eastAsia" w:ascii="仿宋_GB2312" w:eastAsia="仿宋_GB2312" w:cs="DengXian-Regular"/>
          <w:sz w:val="32"/>
          <w:szCs w:val="32"/>
          <w:lang w:val="en-US" w:eastAsia="zh-CN"/>
        </w:rPr>
        <w:t>1802.26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44</w:t>
      </w:r>
      <w:r>
        <w:rPr>
          <w:rFonts w:hint="eastAsia" w:ascii="仿宋_GB2312" w:eastAsia="仿宋_GB2312" w:cs="DengXian-Regular"/>
          <w:sz w:val="32"/>
          <w:szCs w:val="32"/>
        </w:rPr>
        <w:t>%，主要是</w:t>
      </w:r>
      <w:r>
        <w:rPr>
          <w:rFonts w:hint="eastAsia" w:ascii="仿宋_GB2312" w:eastAsia="仿宋_GB2312" w:cs="DengXian-Regular"/>
          <w:sz w:val="32"/>
          <w:szCs w:val="32"/>
          <w:lang w:eastAsia="zh-CN"/>
        </w:rPr>
        <w:t>项目资金</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5034.89</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5034.89</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line="584" w:lineRule="exact"/>
        <w:jc w:val="center"/>
        <w:rPr>
          <w:rFonts w:eastAsia="仿宋_GB2312"/>
          <w:sz w:val="32"/>
          <w:szCs w:val="32"/>
        </w:rPr>
      </w:pPr>
      <w:r>
        <w:rPr>
          <w:rFonts w:eastAsia="仿宋_GB2312"/>
          <w:sz w:val="32"/>
          <w:szCs w:val="32"/>
        </w:rPr>
        <w:t>图1：收入决算结构饼状图</w:t>
      </w:r>
    </w:p>
    <w:p>
      <w:r>
        <w:rPr>
          <w:rFonts w:hint="eastAsia" w:ascii="黑体" w:eastAsia="黑体" w:hAnsiTheme="majorHAnsi" w:cstheme="majorBidi"/>
          <w:sz w:val="32"/>
          <w:szCs w:val="32"/>
          <w:lang w:eastAsia="zh-CN"/>
        </w:rPr>
        <w:drawing>
          <wp:inline distT="0" distB="0" distL="114300" distR="114300">
            <wp:extent cx="5513705" cy="3099435"/>
            <wp:effectExtent l="4445" t="4445" r="6350" b="2032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pStyle w:val="3"/>
        <w:spacing w:before="0" w:after="0" w:line="580" w:lineRule="exact"/>
        <w:rPr>
          <w:rFonts w:hint="eastAsia" w:ascii="黑体" w:eastAsia="黑体"/>
          <w:b w:val="0"/>
          <w:bCs w:val="0"/>
        </w:rPr>
      </w:pPr>
    </w:p>
    <w:p>
      <w:pPr>
        <w:rPr>
          <w:rFonts w:hint="eastAsia"/>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4848.06</w:t>
      </w:r>
      <w:r>
        <w:rPr>
          <w:rFonts w:hint="eastAsia" w:ascii="仿宋_GB2312" w:eastAsia="仿宋_GB2312" w:cs="DengXian-Regular"/>
          <w:sz w:val="32"/>
          <w:szCs w:val="32"/>
        </w:rPr>
        <w:t>万元，其中：基支出</w:t>
      </w:r>
      <w:r>
        <w:rPr>
          <w:rFonts w:hint="eastAsia" w:ascii="仿宋_GB2312" w:eastAsia="仿宋_GB2312" w:cs="DengXian-Regular"/>
          <w:sz w:val="32"/>
          <w:szCs w:val="32"/>
          <w:lang w:val="en-US" w:eastAsia="zh-CN"/>
        </w:rPr>
        <w:t>580.52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11.97</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4267.54</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88.03</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%。如图所示：</w:t>
      </w:r>
    </w:p>
    <w:p>
      <w:pPr>
        <w:adjustRightInd w:val="0"/>
        <w:snapToGrid w:val="0"/>
        <w:spacing w:after="0" w:line="580" w:lineRule="exact"/>
        <w:jc w:val="center"/>
        <w:rPr>
          <w:rFonts w:eastAsia="仿宋_GB2312"/>
          <w:sz w:val="32"/>
          <w:szCs w:val="32"/>
        </w:rPr>
      </w:pPr>
      <w:r>
        <w:rPr>
          <w:rFonts w:eastAsia="仿宋_GB2312"/>
          <w:sz w:val="32"/>
          <w:szCs w:val="32"/>
        </w:rPr>
        <w:t>图2：支出决算结构饼状图</w:t>
      </w:r>
    </w:p>
    <w:p>
      <w:pPr>
        <w:adjustRightInd w:val="0"/>
        <w:snapToGrid w:val="0"/>
        <w:spacing w:after="0" w:line="580" w:lineRule="exact"/>
        <w:jc w:val="center"/>
        <w:rPr>
          <w:rFonts w:eastAsia="仿宋_GB2312"/>
          <w:sz w:val="32"/>
          <w:szCs w:val="32"/>
        </w:rPr>
      </w:pPr>
    </w:p>
    <w:p>
      <w:pPr>
        <w:adjustRightInd w:val="0"/>
        <w:snapToGrid w:val="0"/>
        <w:spacing w:after="0" w:line="240" w:lineRule="auto"/>
        <w:jc w:val="center"/>
        <w:rPr>
          <w:rFonts w:hint="eastAsia" w:eastAsia="仿宋_GB2312"/>
          <w:sz w:val="32"/>
          <w:szCs w:val="32"/>
          <w:lang w:eastAsia="zh-CN"/>
        </w:rPr>
      </w:pPr>
      <w:r>
        <w:rPr>
          <w:rFonts w:hint="eastAsia" w:eastAsia="仿宋_GB2312"/>
          <w:sz w:val="32"/>
          <w:szCs w:val="32"/>
          <w:lang w:eastAsia="zh-CN"/>
        </w:rPr>
        <w:drawing>
          <wp:inline distT="0" distB="0" distL="114300" distR="114300">
            <wp:extent cx="5097780" cy="2463165"/>
            <wp:effectExtent l="4445" t="4445" r="18415" b="1651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adjustRightInd w:val="0"/>
        <w:snapToGrid w:val="0"/>
        <w:spacing w:after="0" w:line="580" w:lineRule="exact"/>
        <w:jc w:val="center"/>
        <w:rPr>
          <w:rFonts w:eastAsia="仿宋_GB2312"/>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adjustRightInd w:val="0"/>
        <w:snapToGrid w:val="0"/>
        <w:spacing w:after="0" w:line="580" w:lineRule="exact"/>
        <w:ind w:firstLine="643" w:firstLineChars="200"/>
        <w:rPr>
          <w:rFonts w:ascii="仿宋_GB2312" w:eastAsia="仿宋_GB2312" w:cs="DengXian-Regular"/>
          <w:sz w:val="32"/>
          <w:szCs w:val="32"/>
          <w:highlight w:val="yellow"/>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5034.89</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2249.89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44.69</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项目资金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4846.81</w:t>
      </w:r>
      <w:r>
        <w:rPr>
          <w:rFonts w:hint="eastAsia" w:ascii="仿宋_GB2312" w:eastAsia="仿宋_GB2312" w:cs="DengXian-Regular"/>
          <w:sz w:val="32"/>
          <w:szCs w:val="32"/>
        </w:rPr>
        <w:t>万元，增加</w:t>
      </w:r>
      <w:r>
        <w:rPr>
          <w:rFonts w:hint="eastAsia" w:ascii="仿宋_GB2312" w:eastAsia="仿宋_GB2312" w:cs="DengXian-Regular"/>
          <w:sz w:val="32"/>
          <w:szCs w:val="32"/>
          <w:lang w:val="en-US" w:eastAsia="zh-CN"/>
        </w:rPr>
        <w:t>1920.15</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39.62</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项目资金支出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其中：一般公共预算财政拨款本年收入</w:t>
      </w:r>
      <w:r>
        <w:rPr>
          <w:rFonts w:hint="eastAsia" w:ascii="仿宋_GB2312" w:eastAsia="仿宋_GB2312" w:cs="DengXian-Regular"/>
          <w:sz w:val="32"/>
          <w:szCs w:val="32"/>
          <w:lang w:val="en-US" w:eastAsia="zh-CN"/>
        </w:rPr>
        <w:t>5017.4</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2325.4</w:t>
      </w:r>
      <w:r>
        <w:rPr>
          <w:rFonts w:hint="eastAsia" w:ascii="仿宋_GB2312" w:eastAsia="仿宋_GB2312" w:cs="DengXian-Regular"/>
          <w:sz w:val="32"/>
          <w:szCs w:val="32"/>
        </w:rPr>
        <w:t>万元；主要是</w:t>
      </w:r>
      <w:r>
        <w:rPr>
          <w:rFonts w:hint="eastAsia" w:ascii="仿宋_GB2312" w:eastAsia="仿宋_GB2312" w:cs="DengXian-Regular"/>
          <w:sz w:val="32"/>
          <w:szCs w:val="32"/>
          <w:lang w:val="en-US" w:eastAsia="zh-CN"/>
        </w:rPr>
        <w:t>项目资金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4829.32</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2009.08</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41.60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项目资金支出</w:t>
      </w:r>
      <w:r>
        <w:rPr>
          <w:rFonts w:hint="eastAsia" w:ascii="仿宋_GB2312" w:eastAsia="仿宋_GB2312" w:cs="DengXian-Regular"/>
          <w:sz w:val="32"/>
          <w:szCs w:val="32"/>
        </w:rPr>
        <w:t>。政府性基金预算财政拨款本年收入</w:t>
      </w:r>
      <w:r>
        <w:rPr>
          <w:rFonts w:hint="eastAsia" w:ascii="仿宋_GB2312" w:eastAsia="仿宋_GB2312" w:cs="DengXian-Regular"/>
          <w:sz w:val="32"/>
          <w:szCs w:val="32"/>
          <w:lang w:val="en-US" w:eastAsia="zh-CN"/>
        </w:rPr>
        <w:t>17.49</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17.49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政府性基金项目资金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17.49</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17.49</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政府性基金项目资金支出</w:t>
      </w:r>
      <w:r>
        <w:rPr>
          <w:rFonts w:hint="eastAsia" w:ascii="仿宋_GB2312" w:eastAsia="仿宋_GB2312" w:cs="DengXian-Regular"/>
          <w:sz w:val="32"/>
          <w:szCs w:val="32"/>
        </w:rPr>
        <w:t>。</w:t>
      </w:r>
    </w:p>
    <w:p>
      <w:pPr>
        <w:adjustRightInd w:val="0"/>
        <w:snapToGrid w:val="0"/>
        <w:spacing w:after="0" w:line="580" w:lineRule="exact"/>
        <w:jc w:val="center"/>
        <w:rPr>
          <w:rFonts w:hint="eastAsia" w:eastAsia="仿宋_GB2312"/>
          <w:sz w:val="32"/>
          <w:szCs w:val="32"/>
        </w:rPr>
      </w:pPr>
      <w:r>
        <w:rPr>
          <w:rFonts w:hint="eastAsia" w:eastAsia="仿宋_GB2312"/>
          <w:sz w:val="32"/>
          <w:szCs w:val="32"/>
        </w:rPr>
        <w:t>图3：财政拨款收支情况</w:t>
      </w:r>
    </w:p>
    <w:p>
      <w:pPr>
        <w:adjustRightInd w:val="0"/>
        <w:snapToGrid w:val="0"/>
        <w:spacing w:after="0" w:line="580" w:lineRule="exact"/>
        <w:jc w:val="center"/>
        <w:rPr>
          <w:rFonts w:hint="eastAsia" w:eastAsia="仿宋_GB2312"/>
          <w:sz w:val="32"/>
          <w:szCs w:val="32"/>
          <w:lang w:eastAsia="zh-CN"/>
        </w:rPr>
      </w:pPr>
      <w:r>
        <w:rPr>
          <w:rFonts w:hint="eastAsia" w:eastAsia="仿宋_GB2312"/>
          <w:sz w:val="32"/>
          <w:szCs w:val="32"/>
          <w:lang w:eastAsia="zh-CN"/>
        </w:rPr>
        <w:drawing>
          <wp:anchor distT="0" distB="0" distL="114300" distR="114300" simplePos="0" relativeHeight="251667456" behindDoc="0" locked="0" layoutInCell="1" allowOverlap="1">
            <wp:simplePos x="0" y="0"/>
            <wp:positionH relativeFrom="column">
              <wp:posOffset>379095</wp:posOffset>
            </wp:positionH>
            <wp:positionV relativeFrom="paragraph">
              <wp:posOffset>187960</wp:posOffset>
            </wp:positionV>
            <wp:extent cx="5079365" cy="5293360"/>
            <wp:effectExtent l="4445" t="4445" r="6350" b="571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本部门2018年度财政拨款本年收入</w:t>
      </w:r>
      <w:r>
        <w:rPr>
          <w:rFonts w:hint="eastAsia" w:ascii="仿宋_GB2312" w:eastAsia="仿宋_GB2312" w:cs="DengXian-Regular"/>
          <w:sz w:val="32"/>
          <w:szCs w:val="32"/>
          <w:lang w:val="en-US" w:eastAsia="zh-CN"/>
        </w:rPr>
        <w:t>5034.89</w:t>
      </w:r>
      <w:r>
        <w:rPr>
          <w:rFonts w:hint="eastAsia" w:ascii="仿宋_GB2312" w:eastAsia="仿宋_GB2312" w:cs="DengXian-Regular"/>
          <w:sz w:val="32"/>
          <w:szCs w:val="32"/>
        </w:rPr>
        <w:t>万元，完成年</w:t>
      </w:r>
      <w:r>
        <w:rPr>
          <w:rFonts w:hint="eastAsia" w:ascii="仿宋_GB2312" w:eastAsia="仿宋_GB2312" w:cs="DengXian-Regular"/>
          <w:sz w:val="32"/>
          <w:szCs w:val="32"/>
          <w:highlight w:val="none"/>
        </w:rPr>
        <w:t>初预算的</w:t>
      </w:r>
      <w:r>
        <w:rPr>
          <w:rFonts w:hint="eastAsia" w:ascii="仿宋_GB2312" w:eastAsia="仿宋_GB2312" w:cs="DengXian-Regular"/>
          <w:sz w:val="32"/>
          <w:szCs w:val="32"/>
          <w:highlight w:val="none"/>
          <w:lang w:val="en-US" w:eastAsia="zh-CN"/>
        </w:rPr>
        <w:t>138.14</w:t>
      </w:r>
      <w:r>
        <w:rPr>
          <w:rFonts w:hint="eastAsia" w:ascii="仿宋_GB2312" w:eastAsia="仿宋_GB2312" w:cs="DengXian-Regular"/>
          <w:sz w:val="32"/>
          <w:szCs w:val="32"/>
          <w:highlight w:val="none"/>
        </w:rPr>
        <w:t>%,比年初预算</w:t>
      </w:r>
      <w:r>
        <w:rPr>
          <w:rFonts w:hint="eastAsia" w:ascii="仿宋_GB2312" w:eastAsia="仿宋_GB2312" w:cs="DengXian-Regular"/>
          <w:sz w:val="32"/>
          <w:szCs w:val="32"/>
          <w:highlight w:val="none"/>
          <w:lang w:val="en-US" w:eastAsia="zh-CN"/>
        </w:rPr>
        <w:t>增加1390</w:t>
      </w:r>
      <w:r>
        <w:rPr>
          <w:rFonts w:hint="eastAsia" w:ascii="仿宋_GB2312" w:eastAsia="仿宋_GB2312" w:cs="DengXian-Regular"/>
          <w:sz w:val="32"/>
          <w:szCs w:val="32"/>
          <w:highlight w:val="none"/>
        </w:rPr>
        <w:t>万元，决算数</w:t>
      </w:r>
      <w:r>
        <w:rPr>
          <w:rFonts w:hint="eastAsia" w:ascii="仿宋_GB2312" w:eastAsia="仿宋_GB2312" w:cs="DengXian-Regular"/>
          <w:sz w:val="32"/>
          <w:szCs w:val="32"/>
          <w:highlight w:val="none"/>
          <w:lang w:val="en-US" w:eastAsia="zh-CN"/>
        </w:rPr>
        <w:t>大</w:t>
      </w:r>
      <w:r>
        <w:rPr>
          <w:rFonts w:hint="eastAsia" w:ascii="仿宋_GB2312" w:eastAsia="仿宋_GB2312" w:cs="DengXian-Regular"/>
          <w:sz w:val="32"/>
          <w:szCs w:val="32"/>
          <w:highlight w:val="none"/>
        </w:rPr>
        <w:t>于预算</w:t>
      </w:r>
      <w:r>
        <w:rPr>
          <w:rFonts w:hint="eastAsia" w:ascii="仿宋_GB2312" w:eastAsia="仿宋_GB2312" w:cs="DengXian-Regular"/>
          <w:sz w:val="32"/>
          <w:szCs w:val="32"/>
        </w:rPr>
        <w:t>数主要是</w:t>
      </w:r>
      <w:r>
        <w:rPr>
          <w:rFonts w:hint="eastAsia" w:ascii="仿宋_GB2312" w:eastAsia="仿宋_GB2312" w:cs="DengXian-Regular"/>
          <w:sz w:val="32"/>
          <w:szCs w:val="32"/>
          <w:lang w:eastAsia="zh-CN"/>
        </w:rPr>
        <w:t>追加的项目资金</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4846.81</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132.98</w:t>
      </w:r>
      <w:r>
        <w:rPr>
          <w:rFonts w:hint="eastAsia" w:ascii="仿宋_GB2312" w:eastAsia="仿宋_GB2312" w:cs="DengXian-Regular"/>
          <w:sz w:val="32"/>
          <w:szCs w:val="32"/>
        </w:rPr>
        <w:t>%,比年初预算</w:t>
      </w:r>
      <w:r>
        <w:rPr>
          <w:rFonts w:hint="eastAsia" w:ascii="仿宋_GB2312" w:eastAsia="仿宋_GB2312" w:cs="DengXian-Regular"/>
          <w:sz w:val="32"/>
          <w:szCs w:val="32"/>
          <w:lang w:val="en-US" w:eastAsia="zh-CN"/>
        </w:rPr>
        <w:t>增加1201.92</w:t>
      </w:r>
      <w:r>
        <w:rPr>
          <w:rFonts w:hint="eastAsia" w:ascii="仿宋_GB2312" w:eastAsia="仿宋_GB2312" w:cs="DengXian-Regular"/>
          <w:sz w:val="32"/>
          <w:szCs w:val="32"/>
        </w:rPr>
        <w:t>万元，决算数</w:t>
      </w:r>
      <w:r>
        <w:rPr>
          <w:rFonts w:hint="eastAsia" w:ascii="仿宋_GB2312" w:eastAsia="仿宋_GB2312" w:cs="DengXian-Regular"/>
          <w:sz w:val="32"/>
          <w:szCs w:val="32"/>
          <w:lang w:eastAsia="zh-CN"/>
        </w:rPr>
        <w:t>大</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追加的项目资金支出</w:t>
      </w:r>
      <w:r>
        <w:rPr>
          <w:rFonts w:hint="eastAsia" w:ascii="仿宋_GB2312" w:eastAsia="仿宋_GB2312" w:cs="DengXian-Regular"/>
          <w:sz w:val="32"/>
          <w:szCs w:val="32"/>
        </w:rPr>
        <w:t>。</w:t>
      </w:r>
    </w:p>
    <w:p>
      <w:pPr>
        <w:adjustRightInd w:val="0"/>
        <w:snapToGrid w:val="0"/>
        <w:spacing w:after="0" w:line="580" w:lineRule="exact"/>
        <w:ind w:firstLine="640" w:firstLineChars="200"/>
        <w:rPr>
          <w:rFonts w:ascii="仿宋_GB2312" w:eastAsia="仿宋_GB2312" w:cs="DengXian-Regular"/>
          <w:sz w:val="32"/>
          <w:szCs w:val="32"/>
          <w:highlight w:val="yellow"/>
        </w:rPr>
      </w:pPr>
      <w:r>
        <w:rPr>
          <w:rFonts w:hint="eastAsia" w:ascii="仿宋_GB2312" w:eastAsia="仿宋_GB2312" w:cs="DengXian-Regular"/>
          <w:sz w:val="32"/>
          <w:szCs w:val="32"/>
        </w:rPr>
        <w:t>其中，一般公共预算财政拨款本年收入完成年初预算</w:t>
      </w:r>
      <w:r>
        <w:rPr>
          <w:rFonts w:hint="eastAsia" w:ascii="仿宋_GB2312" w:eastAsia="仿宋_GB2312" w:cs="DengXian-Regular"/>
          <w:sz w:val="32"/>
          <w:szCs w:val="32"/>
          <w:lang w:val="en-US" w:eastAsia="zh-CN"/>
        </w:rPr>
        <w:t>137.66</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1372.51</w:t>
      </w:r>
      <w:r>
        <w:rPr>
          <w:rFonts w:hint="eastAsia" w:ascii="仿宋_GB2312" w:eastAsia="仿宋_GB2312" w:cs="DengXian-Regular"/>
          <w:sz w:val="32"/>
          <w:szCs w:val="32"/>
        </w:rPr>
        <w:t>万元，决算数大于预算数主要是</w:t>
      </w:r>
      <w:r>
        <w:rPr>
          <w:rFonts w:hint="eastAsia" w:ascii="仿宋_GB2312" w:eastAsia="仿宋_GB2312" w:cs="DengXian-Regular"/>
          <w:sz w:val="32"/>
          <w:szCs w:val="32"/>
          <w:lang w:eastAsia="zh-CN"/>
        </w:rPr>
        <w:t>追加的项目资金</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132.5</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1185.32</w:t>
      </w:r>
      <w:r>
        <w:rPr>
          <w:rFonts w:hint="eastAsia" w:ascii="仿宋_GB2312" w:eastAsia="仿宋_GB2312" w:cs="DengXian-Regular"/>
          <w:sz w:val="32"/>
          <w:szCs w:val="32"/>
        </w:rPr>
        <w:t>万元，决算数</w:t>
      </w:r>
      <w:r>
        <w:rPr>
          <w:rFonts w:hint="eastAsia" w:ascii="仿宋_GB2312" w:eastAsia="仿宋_GB2312" w:cs="DengXian-Regular"/>
          <w:sz w:val="32"/>
          <w:szCs w:val="32"/>
          <w:lang w:val="en-US" w:eastAsia="zh-CN"/>
        </w:rPr>
        <w:t>大</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追加的项目资金</w:t>
      </w:r>
      <w:r>
        <w:rPr>
          <w:rFonts w:hint="eastAsia" w:ascii="仿宋_GB2312" w:eastAsia="仿宋_GB2312" w:cs="DengXian-Regular"/>
          <w:sz w:val="32"/>
          <w:szCs w:val="32"/>
        </w:rPr>
        <w:t>。政府性基金预算财政拨款本年收入完成年初预算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17.49</w:t>
      </w:r>
      <w:r>
        <w:rPr>
          <w:rFonts w:hint="eastAsia" w:ascii="仿宋_GB2312" w:eastAsia="仿宋_GB2312" w:cs="DengXian-Regular"/>
          <w:sz w:val="32"/>
          <w:szCs w:val="32"/>
        </w:rPr>
        <w:t>万元，决算数</w:t>
      </w:r>
      <w:r>
        <w:rPr>
          <w:rFonts w:hint="eastAsia" w:ascii="仿宋_GB2312" w:eastAsia="仿宋_GB2312" w:cs="DengXian-Regular"/>
          <w:sz w:val="32"/>
          <w:szCs w:val="32"/>
          <w:lang w:val="en-US" w:eastAsia="zh-CN"/>
        </w:rPr>
        <w:t>大</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项目资金</w:t>
      </w:r>
      <w:r>
        <w:rPr>
          <w:rFonts w:hint="eastAsia" w:ascii="仿宋_GB2312" w:eastAsia="仿宋_GB2312" w:cs="DengXian-Regular"/>
          <w:sz w:val="32"/>
          <w:szCs w:val="32"/>
        </w:rPr>
        <w:t>；支出完成年初预算</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%，比年初预算增加</w:t>
      </w:r>
      <w:r>
        <w:rPr>
          <w:rFonts w:hint="eastAsia" w:ascii="仿宋_GB2312" w:eastAsia="仿宋_GB2312" w:cs="DengXian-Regular"/>
          <w:sz w:val="32"/>
          <w:szCs w:val="32"/>
          <w:lang w:val="en-US" w:eastAsia="zh-CN"/>
        </w:rPr>
        <w:t>17.49</w:t>
      </w:r>
      <w:r>
        <w:rPr>
          <w:rFonts w:hint="eastAsia" w:ascii="仿宋_GB2312" w:eastAsia="仿宋_GB2312" w:cs="DengXian-Regular"/>
          <w:sz w:val="32"/>
          <w:szCs w:val="32"/>
        </w:rPr>
        <w:t>万元，决算数</w:t>
      </w:r>
      <w:r>
        <w:rPr>
          <w:rFonts w:hint="eastAsia" w:ascii="仿宋_GB2312" w:eastAsia="仿宋_GB2312" w:cs="DengXian-Regular"/>
          <w:sz w:val="32"/>
          <w:szCs w:val="32"/>
          <w:lang w:val="en-US" w:eastAsia="zh-CN"/>
        </w:rPr>
        <w:t>大</w:t>
      </w:r>
      <w:r>
        <w:rPr>
          <w:rFonts w:hint="eastAsia" w:ascii="仿宋_GB2312" w:eastAsia="仿宋_GB2312" w:cs="DengXian-Regular"/>
          <w:sz w:val="32"/>
          <w:szCs w:val="32"/>
        </w:rPr>
        <w:t>于预算数主要是</w:t>
      </w:r>
      <w:r>
        <w:rPr>
          <w:rFonts w:hint="eastAsia" w:ascii="仿宋_GB2312" w:eastAsia="仿宋_GB2312" w:cs="DengXian-Regular"/>
          <w:sz w:val="32"/>
          <w:szCs w:val="32"/>
          <w:lang w:eastAsia="zh-CN"/>
        </w:rPr>
        <w:t>项目资金</w:t>
      </w:r>
      <w:r>
        <w:rPr>
          <w:rFonts w:hint="eastAsia" w:ascii="仿宋_GB2312" w:eastAsia="仿宋_GB2312" w:cs="DengXian-Regular"/>
          <w:sz w:val="32"/>
          <w:szCs w:val="32"/>
        </w:rPr>
        <w:t>。</w:t>
      </w:r>
    </w:p>
    <w:p>
      <w:pPr>
        <w:adjustRightInd w:val="0"/>
        <w:snapToGrid w:val="0"/>
        <w:spacing w:after="0" w:line="580" w:lineRule="exact"/>
        <w:jc w:val="center"/>
        <w:rPr>
          <w:rFonts w:ascii="仿宋_GB2312" w:eastAsia="仿宋_GB2312" w:cs="DengXian-Regular"/>
          <w:sz w:val="24"/>
        </w:rPr>
      </w:pPr>
      <w:r>
        <w:rPr>
          <w:rFonts w:hint="eastAsia" w:eastAsia="仿宋_GB2312"/>
          <w:sz w:val="32"/>
          <w:szCs w:val="32"/>
        </w:rPr>
        <w:t>图4：财政拨款收支预决算对比情况</w:t>
      </w:r>
    </w:p>
    <w:p>
      <w:pPr>
        <w:adjustRightInd w:val="0"/>
        <w:snapToGrid w:val="0"/>
        <w:spacing w:after="0" w:line="580" w:lineRule="exact"/>
        <w:ind w:firstLine="640" w:firstLineChars="200"/>
        <w:rPr>
          <w:rFonts w:hint="eastAsia" w:ascii="仿宋_GB2312" w:eastAsia="仿宋_GB2312" w:cs="DengXian-Regular"/>
          <w:sz w:val="32"/>
          <w:szCs w:val="32"/>
          <w:highlight w:val="yellow"/>
          <w:lang w:eastAsia="zh-CN"/>
        </w:rPr>
      </w:pPr>
      <w:r>
        <w:rPr>
          <w:rFonts w:hint="eastAsia" w:ascii="仿宋_GB2312" w:eastAsia="仿宋_GB2312" w:cs="DengXian-Regular"/>
          <w:sz w:val="32"/>
          <w:szCs w:val="32"/>
          <w:highlight w:val="yellow"/>
          <w:lang w:eastAsia="zh-CN"/>
        </w:rPr>
        <w:drawing>
          <wp:anchor distT="0" distB="0" distL="114300" distR="114300" simplePos="0" relativeHeight="251666432" behindDoc="0" locked="0" layoutInCell="1" allowOverlap="1">
            <wp:simplePos x="0" y="0"/>
            <wp:positionH relativeFrom="column">
              <wp:posOffset>251460</wp:posOffset>
            </wp:positionH>
            <wp:positionV relativeFrom="paragraph">
              <wp:posOffset>253365</wp:posOffset>
            </wp:positionV>
            <wp:extent cx="4708525" cy="2760345"/>
            <wp:effectExtent l="4445" t="4445" r="11430" b="8890"/>
            <wp:wrapNone/>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adjustRightInd w:val="0"/>
        <w:snapToGrid w:val="0"/>
        <w:spacing w:after="0" w:line="580" w:lineRule="exact"/>
        <w:rPr>
          <w:rFonts w:ascii="仿宋_GB2312" w:eastAsia="仿宋_GB2312" w:cs="DengXian-Regular"/>
          <w:sz w:val="32"/>
          <w:szCs w:val="32"/>
          <w:highlight w:val="yellow"/>
        </w:rPr>
      </w:pPr>
    </w:p>
    <w:p>
      <w:pPr>
        <w:adjustRightInd w:val="0"/>
        <w:snapToGrid w:val="0"/>
        <w:spacing w:after="0" w:line="580" w:lineRule="exact"/>
        <w:ind w:firstLine="640" w:firstLineChars="200"/>
        <w:rPr>
          <w:rFonts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4829.32</w:t>
      </w:r>
      <w:r>
        <w:rPr>
          <w:rFonts w:hint="eastAsia" w:ascii="仿宋_GB2312" w:eastAsia="仿宋_GB2312" w:cs="DengXian-Regular"/>
          <w:sz w:val="32"/>
          <w:szCs w:val="32"/>
        </w:rPr>
        <w:t>万元，主要用于以下方面</w:t>
      </w:r>
      <w:r>
        <w:rPr>
          <w:rFonts w:hint="eastAsia" w:ascii="仿宋_GB2312" w:eastAsia="仿宋_GB2312" w:cs="DengXian-Regular"/>
          <w:sz w:val="32"/>
          <w:szCs w:val="32"/>
          <w:lang w:val="en-US" w:eastAsia="zh-CN"/>
        </w:rPr>
        <w:t>:</w:t>
      </w:r>
      <w:r>
        <w:rPr>
          <w:rFonts w:hint="eastAsia" w:ascii="仿宋_GB2312" w:eastAsia="仿宋_GB2312" w:cs="DengXian-Regular"/>
          <w:sz w:val="32"/>
          <w:szCs w:val="32"/>
        </w:rPr>
        <w:t>农林水支出（类）支出</w:t>
      </w:r>
      <w:r>
        <w:rPr>
          <w:rFonts w:hint="eastAsia" w:ascii="仿宋_GB2312" w:eastAsia="仿宋_GB2312" w:cs="DengXian-Regular"/>
          <w:sz w:val="32"/>
          <w:szCs w:val="32"/>
          <w:lang w:val="en-US" w:eastAsia="zh-CN"/>
        </w:rPr>
        <w:t>4783.05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99.04</w:t>
      </w:r>
      <w:r>
        <w:rPr>
          <w:rFonts w:hint="eastAsia" w:ascii="仿宋_GB2312" w:eastAsia="仿宋_GB2312" w:cs="DengXian-Regular"/>
          <w:sz w:val="32"/>
          <w:szCs w:val="32"/>
        </w:rPr>
        <w:t>%；医疗卫生与计划生育支出</w:t>
      </w:r>
      <w:r>
        <w:rPr>
          <w:rFonts w:hint="eastAsia" w:ascii="仿宋_GB2312" w:eastAsia="仿宋_GB2312" w:cs="DengXian-Regular"/>
          <w:sz w:val="32"/>
          <w:szCs w:val="32"/>
          <w:lang w:val="en-US" w:eastAsia="zh-CN"/>
        </w:rPr>
        <w:t>8.55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0.18</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23.58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0.49</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14.15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0.29</w:t>
      </w:r>
      <w:r>
        <w:rPr>
          <w:rFonts w:hint="eastAsia" w:ascii="仿宋_GB2312" w:eastAsia="仿宋_GB2312" w:cs="DengXian-Regular"/>
          <w:sz w:val="32"/>
          <w:szCs w:val="32"/>
        </w:rPr>
        <w:t>%。</w:t>
      </w:r>
    </w:p>
    <w:p>
      <w:pPr>
        <w:adjustRightInd w:val="0"/>
        <w:snapToGrid w:val="0"/>
        <w:spacing w:after="0" w:line="580" w:lineRule="exact"/>
        <w:jc w:val="center"/>
        <w:rPr>
          <w:rFonts w:ascii="楷体_GB2312" w:eastAsia="楷体_GB2312" w:cs="DengXian-Bold"/>
          <w:b/>
          <w:bCs/>
          <w:sz w:val="32"/>
          <w:szCs w:val="32"/>
        </w:rPr>
      </w:pPr>
      <w:r>
        <w:rPr>
          <w:rFonts w:hint="eastAsia" w:eastAsia="仿宋_GB2312"/>
          <w:sz w:val="32"/>
          <w:szCs w:val="32"/>
        </w:rPr>
        <w:t>图5：财政拨款支出决算结构（按功能分类）</w:t>
      </w:r>
    </w:p>
    <w:p>
      <w:pPr>
        <w:adjustRightInd w:val="0"/>
        <w:snapToGrid w:val="0"/>
        <w:spacing w:after="0" w:line="580" w:lineRule="exact"/>
        <w:rPr>
          <w:rFonts w:ascii="楷体_GB2312" w:eastAsia="楷体_GB2312" w:cs="DengXian-Bold"/>
          <w:b/>
          <w:bCs/>
          <w:sz w:val="32"/>
          <w:szCs w:val="32"/>
        </w:rPr>
      </w:pPr>
      <w:r>
        <w:rPr>
          <w:rFonts w:hint="eastAsia" w:ascii="楷体_GB2312" w:eastAsia="楷体_GB2312" w:cs="DengXian-Bold"/>
          <w:b/>
          <w:bCs/>
          <w:sz w:val="32"/>
          <w:szCs w:val="32"/>
          <w:lang w:eastAsia="zh-CN"/>
        </w:rPr>
        <w:drawing>
          <wp:anchor distT="0" distB="0" distL="114300" distR="114300" simplePos="0" relativeHeight="251664384" behindDoc="0" locked="0" layoutInCell="1" allowOverlap="1">
            <wp:simplePos x="0" y="0"/>
            <wp:positionH relativeFrom="column">
              <wp:posOffset>191770</wp:posOffset>
            </wp:positionH>
            <wp:positionV relativeFrom="paragraph">
              <wp:posOffset>318770</wp:posOffset>
            </wp:positionV>
            <wp:extent cx="5080000" cy="3810000"/>
            <wp:effectExtent l="4445" t="4445" r="20955" b="14605"/>
            <wp:wrapNone/>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rPr>
          <w:rFonts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hint="eastAsia" w:ascii="楷体_GB2312" w:eastAsia="楷体_GB2312" w:cs="DengXian-Bold"/>
          <w:b/>
          <w:bCs/>
          <w:sz w:val="32"/>
          <w:szCs w:val="32"/>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580.52</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522.15</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58.36</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7.54</w:t>
      </w:r>
      <w:r>
        <w:rPr>
          <w:rFonts w:eastAsia="仿宋_GB2312"/>
          <w:sz w:val="32"/>
          <w:szCs w:val="32"/>
        </w:rPr>
        <w:t>万元，</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0.26</w:t>
      </w:r>
      <w:r>
        <w:rPr>
          <w:rFonts w:eastAsia="仿宋_GB2312"/>
          <w:sz w:val="32"/>
          <w:szCs w:val="32"/>
        </w:rPr>
        <w:t>万元，降低</w:t>
      </w:r>
      <w:r>
        <w:rPr>
          <w:rFonts w:hint="eastAsia" w:eastAsia="仿宋_GB2312"/>
          <w:sz w:val="32"/>
          <w:szCs w:val="32"/>
          <w:lang w:val="en-US" w:eastAsia="zh-CN"/>
        </w:rPr>
        <w:t>3.33</w:t>
      </w:r>
      <w:r>
        <w:rPr>
          <w:rFonts w:eastAsia="仿宋_GB2312"/>
          <w:sz w:val="32"/>
          <w:szCs w:val="32"/>
        </w:rPr>
        <w:t>%，主要是</w:t>
      </w:r>
      <w:r>
        <w:rPr>
          <w:rFonts w:hint="eastAsia" w:eastAsia="仿宋_GB2312"/>
          <w:sz w:val="32"/>
          <w:szCs w:val="32"/>
          <w:lang w:eastAsia="zh-CN"/>
        </w:rPr>
        <w:t>公务车运行维护支出减少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0.4</w:t>
      </w:r>
      <w:r>
        <w:rPr>
          <w:rFonts w:eastAsia="仿宋_GB2312"/>
          <w:sz w:val="32"/>
          <w:szCs w:val="32"/>
        </w:rPr>
        <w:t>万元，降低</w:t>
      </w:r>
      <w:r>
        <w:rPr>
          <w:rFonts w:hint="eastAsia" w:eastAsia="仿宋_GB2312"/>
          <w:sz w:val="32"/>
          <w:szCs w:val="32"/>
          <w:lang w:val="en-US" w:eastAsia="zh-CN"/>
        </w:rPr>
        <w:t>5.04</w:t>
      </w:r>
      <w:r>
        <w:rPr>
          <w:rFonts w:eastAsia="仿宋_GB2312"/>
          <w:sz w:val="32"/>
          <w:szCs w:val="32"/>
        </w:rPr>
        <w:t>%，主要是</w:t>
      </w:r>
      <w:r>
        <w:rPr>
          <w:rFonts w:hint="eastAsia" w:eastAsia="仿宋_GB2312"/>
          <w:sz w:val="32"/>
          <w:szCs w:val="32"/>
          <w:lang w:eastAsia="zh-CN"/>
        </w:rPr>
        <w:t>公务车运行维护支出减少</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eastAsia="zh-CN"/>
        </w:rPr>
        <w:t>主要是本部门未发生“因公出国（境）费”经费支出、</w:t>
      </w:r>
      <w:r>
        <w:rPr>
          <w:rFonts w:hint="eastAsia" w:eastAsia="仿宋_GB2312"/>
          <w:sz w:val="32"/>
          <w:szCs w:val="32"/>
        </w:rPr>
        <w:t>“较年初预算无增减变化”、“较2017年度决算无增减变化”等。</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7.5</w:t>
      </w:r>
      <w:r>
        <w:rPr>
          <w:rFonts w:eastAsia="楷体_GB2312"/>
          <w:b/>
          <w:bCs/>
          <w:sz w:val="32"/>
          <w:szCs w:val="32"/>
        </w:rPr>
        <w:t>万元。</w:t>
      </w:r>
      <w:r>
        <w:rPr>
          <w:rFonts w:hint="eastAsia" w:ascii="仿宋_GB2312" w:eastAsia="仿宋_GB2312" w:cs="DengXian-Regular"/>
          <w:sz w:val="32"/>
          <w:szCs w:val="32"/>
        </w:rPr>
        <w:t>本部门2018年度公务用车购置及运行维护费</w:t>
      </w:r>
      <w:r>
        <w:rPr>
          <w:rFonts w:hint="eastAsia" w:ascii="仿宋_GB2312" w:eastAsia="仿宋_GB2312" w:cs="DengXian-Regular"/>
          <w:sz w:val="32"/>
          <w:szCs w:val="32"/>
          <w:lang w:val="en-US" w:eastAsia="zh-CN"/>
        </w:rPr>
        <w:t>等于</w:t>
      </w:r>
      <w:r>
        <w:rPr>
          <w:rFonts w:hint="eastAsia" w:ascii="仿宋_GB2312" w:eastAsia="仿宋_GB2312" w:cs="DengXian-Regular"/>
          <w:sz w:val="32"/>
          <w:szCs w:val="32"/>
        </w:rPr>
        <w:t>年初预算</w:t>
      </w:r>
      <w:r>
        <w:rPr>
          <w:rFonts w:hint="eastAsia" w:eastAsia="仿宋_GB2312"/>
          <w:sz w:val="32"/>
          <w:szCs w:val="32"/>
          <w:lang w:val="en-US" w:eastAsia="zh-CN"/>
        </w:rPr>
        <w:t>7.5</w:t>
      </w:r>
      <w:r>
        <w:rPr>
          <w:rFonts w:eastAsia="仿宋_GB2312"/>
          <w:sz w:val="32"/>
          <w:szCs w:val="32"/>
        </w:rPr>
        <w:t>万元</w:t>
      </w:r>
      <w:r>
        <w:rPr>
          <w:rFonts w:hint="eastAsia" w:ascii="仿宋_GB2312" w:eastAsia="仿宋_GB2312" w:cs="DengXian-Regular"/>
          <w:sz w:val="32"/>
          <w:szCs w:val="32"/>
        </w:rPr>
        <w:t>，</w:t>
      </w:r>
      <w:r>
        <w:rPr>
          <w:rFonts w:eastAsia="仿宋_GB2312"/>
          <w:sz w:val="32"/>
          <w:szCs w:val="32"/>
        </w:rPr>
        <w:t>增长</w:t>
      </w:r>
      <w:r>
        <w:rPr>
          <w:rFonts w:hint="eastAsia" w:eastAsia="仿宋_GB2312"/>
          <w:sz w:val="32"/>
          <w:szCs w:val="32"/>
          <w:lang w:val="en-US" w:eastAsia="zh-CN"/>
        </w:rPr>
        <w:t>0</w:t>
      </w:r>
      <w:r>
        <w:rPr>
          <w:rFonts w:eastAsia="仿宋_GB2312"/>
          <w:sz w:val="32"/>
          <w:szCs w:val="32"/>
        </w:rPr>
        <w:t>%</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0.25</w:t>
      </w:r>
      <w:r>
        <w:rPr>
          <w:rFonts w:eastAsia="仿宋_GB2312"/>
          <w:sz w:val="32"/>
          <w:szCs w:val="32"/>
        </w:rPr>
        <w:t>万元，降低</w:t>
      </w:r>
      <w:r>
        <w:rPr>
          <w:rFonts w:hint="eastAsia" w:eastAsia="仿宋_GB2312"/>
          <w:sz w:val="32"/>
          <w:szCs w:val="32"/>
          <w:lang w:val="en-US" w:eastAsia="zh-CN"/>
        </w:rPr>
        <w:t>3.22</w:t>
      </w:r>
      <w:r>
        <w:rPr>
          <w:rFonts w:eastAsia="仿宋_GB2312"/>
          <w:sz w:val="32"/>
          <w:szCs w:val="32"/>
        </w:rPr>
        <w:t>%，主要是</w:t>
      </w:r>
      <w:r>
        <w:rPr>
          <w:rFonts w:hint="eastAsia" w:ascii="仿宋_GB2312" w:eastAsia="仿宋_GB2312" w:cs="DengXian-Regular"/>
          <w:sz w:val="32"/>
          <w:szCs w:val="32"/>
          <w:lang w:eastAsia="zh-CN"/>
        </w:rPr>
        <w:t>公务车运行维护支出</w:t>
      </w:r>
      <w:r>
        <w:rPr>
          <w:rFonts w:hint="eastAsia" w:ascii="仿宋_GB2312" w:eastAsia="仿宋_GB2312" w:cs="DengXian-Regular"/>
          <w:sz w:val="32"/>
          <w:szCs w:val="32"/>
          <w:lang w:val="en-US" w:eastAsia="zh-CN"/>
        </w:rPr>
        <w:t>减少</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w:t>
      </w:r>
      <w:r>
        <w:rPr>
          <w:rFonts w:hint="eastAsia" w:eastAsia="仿宋_GB2312"/>
          <w:sz w:val="32"/>
          <w:szCs w:val="32"/>
          <w:lang w:val="en-US" w:eastAsia="zh-CN"/>
        </w:rPr>
        <w:t>主要是本部门没有增加增加公务车购置费支出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本部门未发生“公务用车购置费”经费支出、</w:t>
      </w:r>
      <w:r>
        <w:rPr>
          <w:rFonts w:hint="eastAsia" w:eastAsia="仿宋_GB2312"/>
          <w:sz w:val="32"/>
          <w:szCs w:val="32"/>
        </w:rPr>
        <w:t>“较年初预算无增减变化”、“较2017年度决算无增减变化”等。</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7.5</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3</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val="en-US" w:eastAsia="zh-CN"/>
        </w:rPr>
        <w:t>未有增长也未有减少</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0.25</w:t>
      </w:r>
      <w:r>
        <w:rPr>
          <w:rFonts w:eastAsia="仿宋_GB2312"/>
          <w:sz w:val="32"/>
          <w:szCs w:val="32"/>
        </w:rPr>
        <w:t>万元，降低</w:t>
      </w:r>
      <w:r>
        <w:rPr>
          <w:rFonts w:hint="eastAsia" w:eastAsia="仿宋_GB2312"/>
          <w:sz w:val="32"/>
          <w:szCs w:val="32"/>
          <w:lang w:val="en-US" w:eastAsia="zh-CN"/>
        </w:rPr>
        <w:t>3.33</w:t>
      </w:r>
      <w:r>
        <w:rPr>
          <w:rFonts w:eastAsia="仿宋_GB2312"/>
          <w:sz w:val="32"/>
          <w:szCs w:val="32"/>
        </w:rPr>
        <w:t>%，主要是</w:t>
      </w:r>
      <w:r>
        <w:rPr>
          <w:rFonts w:hint="eastAsia" w:ascii="仿宋_GB2312" w:eastAsia="仿宋_GB2312" w:cs="DengXian-Regular"/>
          <w:sz w:val="32"/>
          <w:szCs w:val="32"/>
          <w:lang w:eastAsia="zh-CN"/>
        </w:rPr>
        <w:t>公务车运行维护支出</w:t>
      </w:r>
      <w:r>
        <w:rPr>
          <w:rFonts w:hint="eastAsia" w:ascii="仿宋_GB2312" w:eastAsia="仿宋_GB2312" w:cs="DengXian-Regular"/>
          <w:sz w:val="32"/>
          <w:szCs w:val="32"/>
          <w:lang w:val="en-US" w:eastAsia="zh-CN"/>
        </w:rPr>
        <w:t>减少</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0.04</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2</w:t>
      </w:r>
      <w:r>
        <w:rPr>
          <w:rFonts w:eastAsia="仿宋_GB2312"/>
          <w:sz w:val="32"/>
          <w:szCs w:val="32"/>
        </w:rPr>
        <w:t>批次、</w:t>
      </w:r>
      <w:r>
        <w:rPr>
          <w:rFonts w:hint="eastAsia" w:eastAsia="仿宋_GB2312"/>
          <w:sz w:val="32"/>
          <w:szCs w:val="32"/>
          <w:lang w:val="en-US" w:eastAsia="zh-CN"/>
        </w:rPr>
        <w:t>8</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年初预算减少</w:t>
      </w:r>
      <w:r>
        <w:rPr>
          <w:rFonts w:hint="eastAsia" w:eastAsia="仿宋_GB2312"/>
          <w:sz w:val="32"/>
          <w:szCs w:val="32"/>
          <w:lang w:val="en-US" w:eastAsia="zh-CN"/>
        </w:rPr>
        <w:t>0.26</w:t>
      </w:r>
      <w:r>
        <w:rPr>
          <w:rFonts w:eastAsia="仿宋_GB2312"/>
          <w:sz w:val="32"/>
          <w:szCs w:val="32"/>
        </w:rPr>
        <w:t>万元，降低</w:t>
      </w:r>
      <w:r>
        <w:rPr>
          <w:rFonts w:hint="eastAsia" w:eastAsia="仿宋_GB2312"/>
          <w:sz w:val="32"/>
          <w:szCs w:val="32"/>
          <w:lang w:val="en-US" w:eastAsia="zh-CN"/>
        </w:rPr>
        <w:t>65</w:t>
      </w:r>
      <w:r>
        <w:rPr>
          <w:rFonts w:eastAsia="仿宋_GB2312"/>
          <w:sz w:val="32"/>
          <w:szCs w:val="32"/>
        </w:rPr>
        <w:t>%，主要是</w:t>
      </w:r>
      <w:r>
        <w:rPr>
          <w:rFonts w:hint="eastAsia" w:eastAsia="仿宋_GB2312"/>
          <w:sz w:val="32"/>
          <w:szCs w:val="32"/>
          <w:lang w:eastAsia="zh-CN"/>
        </w:rPr>
        <w:t>厉行节俭</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0.15</w:t>
      </w:r>
      <w:r>
        <w:rPr>
          <w:rFonts w:eastAsia="仿宋_GB2312"/>
          <w:sz w:val="32"/>
          <w:szCs w:val="32"/>
        </w:rPr>
        <w:t>万元，降低</w:t>
      </w:r>
      <w:r>
        <w:rPr>
          <w:rFonts w:hint="eastAsia" w:eastAsia="仿宋_GB2312"/>
          <w:sz w:val="32"/>
          <w:szCs w:val="32"/>
          <w:lang w:val="en-US" w:eastAsia="zh-CN"/>
        </w:rPr>
        <w:t>25</w:t>
      </w:r>
      <w:r>
        <w:rPr>
          <w:rFonts w:eastAsia="仿宋_GB2312"/>
          <w:sz w:val="32"/>
          <w:szCs w:val="32"/>
        </w:rPr>
        <w:t>%，主要是</w:t>
      </w:r>
      <w:r>
        <w:rPr>
          <w:rFonts w:hint="eastAsia" w:eastAsia="仿宋_GB2312"/>
          <w:sz w:val="32"/>
          <w:szCs w:val="32"/>
          <w:lang w:eastAsia="zh-CN"/>
        </w:rPr>
        <w:t>厉行节俭</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utoSpaceDE w:val="0"/>
        <w:autoSpaceDN w:val="0"/>
        <w:snapToGrid w:val="0"/>
        <w:spacing w:line="540" w:lineRule="exact"/>
        <w:ind w:firstLine="640" w:firstLineChars="200"/>
        <w:rPr>
          <w:rFonts w:hint="eastAsia" w:ascii="楷体" w:hAnsi="楷体" w:eastAsia="楷体"/>
          <w:b/>
          <w:bCs/>
          <w:sz w:val="32"/>
          <w:szCs w:val="32"/>
        </w:rPr>
      </w:pPr>
      <w:r>
        <w:rPr>
          <w:rFonts w:hint="eastAsia" w:ascii="仿宋_GB2312" w:eastAsia="仿宋_GB2312" w:cs="DengXian-Regular"/>
          <w:sz w:val="32"/>
          <w:szCs w:val="32"/>
        </w:rPr>
        <w:t>（一）预算绩效管理工作开展情况。</w:t>
      </w:r>
    </w:p>
    <w:p>
      <w:pPr>
        <w:adjustRightInd w:val="0"/>
        <w:snapToGrid w:val="0"/>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廊坊市大厂回族自治县</w:t>
      </w:r>
      <w:r>
        <w:rPr>
          <w:rFonts w:hint="eastAsia" w:ascii="仿宋_GB2312" w:eastAsia="仿宋_GB2312" w:cs="DengXian-Regular"/>
          <w:sz w:val="32"/>
          <w:szCs w:val="32"/>
          <w:lang w:eastAsia="zh-CN"/>
        </w:rPr>
        <w:t>水务局</w:t>
      </w:r>
      <w:r>
        <w:rPr>
          <w:rFonts w:hint="eastAsia" w:ascii="仿宋_GB2312" w:eastAsia="仿宋_GB2312" w:cs="DengXian-Regular"/>
          <w:sz w:val="32"/>
          <w:szCs w:val="32"/>
        </w:rPr>
        <w:t>严格按照预算绩效目标开展工作，按照绩效评价要求快速、高效的完成工作，严格办事效率，最快办结服务事项。201</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年全部工作绩效预算目标完成。</w:t>
      </w:r>
    </w:p>
    <w:p>
      <w:pPr>
        <w:autoSpaceDE w:val="0"/>
        <w:autoSpaceDN w:val="0"/>
        <w:adjustRightInd w:val="0"/>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 w:val="0"/>
          <w:bCs/>
          <w:sz w:val="32"/>
          <w:szCs w:val="32"/>
          <w:lang w:val="en-US" w:eastAsia="zh-CN"/>
        </w:rPr>
        <w:t>1、</w:t>
      </w:r>
      <w:r>
        <w:rPr>
          <w:rFonts w:hint="eastAsia" w:ascii="仿宋_GB2312" w:hAnsi="仿宋_GB2312" w:eastAsia="仿宋_GB2312" w:cs="仿宋_GB2312"/>
          <w:b w:val="0"/>
          <w:bCs/>
          <w:sz w:val="32"/>
          <w:szCs w:val="32"/>
        </w:rPr>
        <w:t>增强绩效意识，提高资金使用效益</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sz w:val="32"/>
          <w:szCs w:val="32"/>
        </w:rPr>
        <w:t>“</w:t>
      </w:r>
      <w:r>
        <w:rPr>
          <w:rFonts w:hint="eastAsia" w:ascii="仿宋_GB2312" w:eastAsia="仿宋_GB2312" w:cs="DengXian-Regular"/>
          <w:sz w:val="32"/>
          <w:szCs w:val="32"/>
        </w:rPr>
        <w:t>财政绩效评价”工作是建设责任政府、廉洁政府、法制政府的方向，是我国财政支出管理改革和公共财政框架构建过程不可或缺的重要环节。20</w:t>
      </w:r>
      <w:r>
        <w:rPr>
          <w:rFonts w:hint="eastAsia" w:ascii="仿宋_GB2312" w:eastAsia="仿宋_GB2312" w:cs="DengXian-Regular"/>
          <w:sz w:val="32"/>
          <w:szCs w:val="32"/>
          <w:lang w:val="en-US" w:eastAsia="zh-CN"/>
        </w:rPr>
        <w:t>8</w:t>
      </w:r>
      <w:r>
        <w:rPr>
          <w:rFonts w:hint="eastAsia" w:ascii="仿宋_GB2312" w:eastAsia="仿宋_GB2312" w:cs="DengXian-Regular"/>
          <w:sz w:val="32"/>
          <w:szCs w:val="32"/>
        </w:rPr>
        <w:t>年我局继续认真学习各类相关文件精神，从树立和实践科学发展观、加快政府职能转变的高度，深刻认识到财政支出绩效评价工作的重要性，把绩效评价工作列入年度工作计划和部门目标责任制考核的内容，并加大对绩效评价工作重要性和必要性的宣传力度，提高项目资金使用的绩效意识。一是及时宣传和公布财政有关政策文件、工作制度、信息动态、学习资料等，扩大绩效评价工作的影响；二是加强单位内部的沟通，推动和加强绩效评</w:t>
      </w:r>
      <w:r>
        <w:rPr>
          <w:rFonts w:hint="eastAsia" w:ascii="仿宋_GB2312" w:hAnsi="仿宋_GB2312" w:eastAsia="仿宋_GB2312" w:cs="仿宋_GB2312"/>
          <w:sz w:val="32"/>
          <w:szCs w:val="32"/>
        </w:rPr>
        <w:t>价工作的有效开展；三是早作准备，在年度预算编制时就按照绩效考评的规范，抓好组织管理，做好年度计划；四是积极参加财政部门的绩效评价培训，学习、掌握各项评价指标记分操作等。</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健全绩效评价工作机构、完善评价工作机制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进一步理顺财务管理与财政部门、项目单位之间的关系，明确工作职责，完善工作制度，确保财政支出绩效评价的各个环节协调运转。建立领导小组，明确分管领导和责任处室，配合财政明确绩效评价联络员，与财政业务处室人员积极联络。并将财政支出绩效评价工作列入年度工作划和工作目标考核，确保绩效评价工作扎实、有效、全面推进。 </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明确重点，做好绩效自评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财政支出绩效评价首先要减少资金使用管理中的损失浪费现象，其次要达到资金的合理、优化配给。201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局针对专项项目先行制定有关自评工作方案，落实专门人员，并将项目的执行情况、预期绩效完成情况、资金配置和使用等方面作出绩效报告。通过绩效自评，分析了项目实施取得的绩效，查找了项目实施中存在的问题，为下一步更好的实施项目打下了坚实的基础。</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通过结果应用，提高绩效评价工作效应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财政支出绩效评价结果，只有应用于支出管理的工作实际，才能体现其使用价值。为此，我局积极探索和尝试与部门预算相结合、多渠道应用评价结果的有效机制，切实将绩效评价结果运用起来。一是将绩效评价实施结果反馈给单位和人员，对在评价结果反映存在的问题，进行督促整改落实；二是对项目评价结果进行认真分析，对管理中存在的问题，提出改进措施，并将项目评价结果作为编报年度部门决算的依据。 </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（二）项目绩效自评结果。</w:t>
      </w:r>
    </w:p>
    <w:p>
      <w:pPr>
        <w:autoSpaceDE w:val="0"/>
        <w:autoSpaceDN w:val="0"/>
        <w:adjustRightInd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年，大厂回族自治县</w:t>
      </w:r>
      <w:r>
        <w:rPr>
          <w:rFonts w:hint="eastAsia" w:ascii="仿宋_GB2312" w:hAnsi="仿宋_GB2312" w:eastAsia="仿宋_GB2312" w:cs="仿宋_GB2312"/>
          <w:sz w:val="32"/>
          <w:szCs w:val="32"/>
          <w:lang w:eastAsia="zh-CN"/>
        </w:rPr>
        <w:t>水务</w:t>
      </w:r>
      <w:r>
        <w:rPr>
          <w:rFonts w:hint="eastAsia" w:ascii="仿宋_GB2312" w:hAnsi="仿宋_GB2312" w:eastAsia="仿宋_GB2312" w:cs="仿宋_GB2312"/>
          <w:sz w:val="32"/>
          <w:szCs w:val="32"/>
        </w:rPr>
        <w:t>局在县委、县政府的领导下，认真学习贯彻党的十九大精神，以习近平新时代中国特色社会主义思想为统领，全面落实县委、县政府决策部署，践行“五个坚持”，坚持“三致标准”，不忘初心，牢记使命，说干就干，干就一流，圆满完成了各项工作任务，为开创新时代加快建设经济强县、美丽大厂做出了应有贡献。</w:t>
      </w:r>
    </w:p>
    <w:p>
      <w:pPr>
        <w:numPr>
          <w:ilvl w:val="0"/>
          <w:numId w:val="1"/>
        </w:numPr>
        <w:autoSpaceDE w:val="0"/>
        <w:autoSpaceDN w:val="0"/>
        <w:snapToGrid w:val="0"/>
        <w:spacing w:line="540" w:lineRule="exact"/>
        <w:ind w:left="420" w:leftChars="200" w:firstLine="0" w:firstLineChars="0"/>
        <w:rPr>
          <w:rFonts w:hint="eastAsia" w:ascii="仿宋_GB2312" w:eastAsia="仿宋_GB2312" w:cs="DengXian-Regular"/>
          <w:sz w:val="32"/>
          <w:szCs w:val="32"/>
        </w:rPr>
      </w:pPr>
      <w:r>
        <w:rPr>
          <w:rFonts w:hint="eastAsia" w:ascii="仿宋_GB2312" w:eastAsia="仿宋_GB2312" w:cs="DengXian-Regular"/>
          <w:sz w:val="32"/>
          <w:szCs w:val="32"/>
        </w:rPr>
        <w:t>重点项目绩效评价结果。</w:t>
      </w:r>
    </w:p>
    <w:p>
      <w:pPr>
        <w:autoSpaceDE w:val="0"/>
        <w:autoSpaceDN w:val="0"/>
        <w:adjustRightInd w:val="0"/>
        <w:spacing w:line="360" w:lineRule="auto"/>
        <w:ind w:firstLine="640" w:firstLineChars="200"/>
        <w:jc w:val="left"/>
        <w:rPr>
          <w:rFonts w:ascii="仿宋_GB2312" w:eastAsia="仿宋_GB2312" w:cs="DengXian-Regular"/>
          <w:sz w:val="32"/>
          <w:szCs w:val="32"/>
        </w:rPr>
      </w:pPr>
      <w:r>
        <w:rPr>
          <w:rFonts w:hint="eastAsia" w:ascii="仿宋_GB2312" w:hAnsi="仿宋_GB2312" w:eastAsia="仿宋_GB2312" w:cs="仿宋_GB2312"/>
          <w:sz w:val="32"/>
          <w:szCs w:val="32"/>
        </w:rPr>
        <w:t>本部门以“中央水利发展资金（地下水超采综合治理项目</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”为例进行了自评，其中项目绩效达标，得分为100分。</w:t>
      </w: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58.36</w:t>
      </w:r>
      <w:r>
        <w:rPr>
          <w:rFonts w:hint="eastAsia" w:ascii="仿宋_GB2312" w:eastAsia="仿宋_GB2312" w:cs="DengXian-Regular"/>
          <w:sz w:val="32"/>
          <w:szCs w:val="32"/>
        </w:rPr>
        <w:t>万元，比年初预算数减少</w:t>
      </w:r>
      <w:r>
        <w:rPr>
          <w:rFonts w:hint="eastAsia" w:ascii="仿宋_GB2312" w:eastAsia="仿宋_GB2312" w:cs="DengXian-Regular"/>
          <w:sz w:val="32"/>
          <w:szCs w:val="32"/>
          <w:lang w:val="en-US" w:eastAsia="zh-CN"/>
        </w:rPr>
        <w:t>6.68</w:t>
      </w:r>
      <w:r>
        <w:rPr>
          <w:rFonts w:hint="eastAsia" w:ascii="仿宋_GB2312" w:eastAsia="仿宋_GB2312" w:cs="DengXian-Regular"/>
          <w:sz w:val="32"/>
          <w:szCs w:val="32"/>
        </w:rPr>
        <w:t>万元，降低</w:t>
      </w:r>
      <w:r>
        <w:rPr>
          <w:rFonts w:hint="eastAsia" w:ascii="仿宋_GB2312" w:eastAsia="仿宋_GB2312" w:cs="DengXian-Regular"/>
          <w:sz w:val="32"/>
          <w:szCs w:val="32"/>
          <w:lang w:val="en-US" w:eastAsia="zh-CN"/>
        </w:rPr>
        <w:t>11.45</w:t>
      </w:r>
      <w:r>
        <w:rPr>
          <w:rFonts w:hint="eastAsia" w:ascii="仿宋_GB2312" w:eastAsia="仿宋_GB2312" w:cs="DengXian-Regular"/>
          <w:sz w:val="32"/>
          <w:szCs w:val="32"/>
        </w:rPr>
        <w:t xml:space="preserve"> </w:t>
      </w:r>
      <w:r>
        <w:rPr>
          <w:rFonts w:eastAsia="仿宋_GB2312"/>
          <w:sz w:val="32"/>
          <w:szCs w:val="32"/>
        </w:rPr>
        <w:t>%</w:t>
      </w:r>
      <w:r>
        <w:rPr>
          <w:rFonts w:hint="eastAsia" w:ascii="仿宋_GB2312" w:eastAsia="仿宋_GB2312" w:cs="DengXian-Regular"/>
          <w:sz w:val="32"/>
          <w:szCs w:val="32"/>
        </w:rPr>
        <w:t>。主要是主要是</w:t>
      </w:r>
      <w:r>
        <w:rPr>
          <w:rFonts w:hint="eastAsia" w:ascii="仿宋_GB2312" w:eastAsia="仿宋_GB2312" w:cs="DengXian-Regular"/>
          <w:sz w:val="32"/>
          <w:szCs w:val="32"/>
          <w:lang w:eastAsia="zh-CN"/>
        </w:rPr>
        <w:t>机关办公费用支出减少</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年度决算减少</w:t>
      </w:r>
      <w:r>
        <w:rPr>
          <w:rFonts w:hint="eastAsia" w:eastAsia="仿宋_GB2312"/>
          <w:sz w:val="32"/>
          <w:szCs w:val="32"/>
          <w:lang w:val="en-US" w:eastAsia="zh-CN"/>
        </w:rPr>
        <w:t>8.63</w:t>
      </w:r>
      <w:r>
        <w:rPr>
          <w:rFonts w:eastAsia="仿宋_GB2312"/>
          <w:sz w:val="32"/>
          <w:szCs w:val="32"/>
        </w:rPr>
        <w:t>万元，降低</w:t>
      </w:r>
      <w:r>
        <w:rPr>
          <w:rFonts w:hint="eastAsia" w:eastAsia="仿宋_GB2312"/>
          <w:sz w:val="32"/>
          <w:szCs w:val="32"/>
          <w:lang w:val="en-US" w:eastAsia="zh-CN"/>
        </w:rPr>
        <w:t>12.88</w:t>
      </w:r>
      <w:r>
        <w:rPr>
          <w:rFonts w:eastAsia="仿宋_GB2312"/>
          <w:sz w:val="32"/>
          <w:szCs w:val="32"/>
        </w:rPr>
        <w:t>%，主要是</w:t>
      </w:r>
      <w:r>
        <w:rPr>
          <w:rFonts w:hint="eastAsia" w:ascii="仿宋_GB2312" w:eastAsia="仿宋_GB2312" w:cs="DengXian-Regular"/>
          <w:sz w:val="32"/>
          <w:szCs w:val="32"/>
          <w:lang w:eastAsia="zh-CN"/>
        </w:rPr>
        <w:t>机关办公费用支出减少</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1765.65</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672.56</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1093.09</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3</w:t>
      </w:r>
      <w:r>
        <w:rPr>
          <w:rFonts w:hint="eastAsia" w:ascii="仿宋_GB2312" w:eastAsia="仿宋_GB2312" w:cs="DengXian-Regular"/>
          <w:sz w:val="32"/>
          <w:szCs w:val="32"/>
        </w:rPr>
        <w:t>辆，比上年增加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辆，主要是</w:t>
      </w:r>
      <w:r>
        <w:rPr>
          <w:rFonts w:hint="eastAsia" w:ascii="仿宋_GB2312" w:eastAsia="仿宋_GB2312" w:cs="DengXian-Regular"/>
          <w:sz w:val="32"/>
          <w:szCs w:val="32"/>
          <w:lang w:eastAsia="zh-CN"/>
        </w:rPr>
        <w:t>本部门没有公务车购置支出</w:t>
      </w:r>
      <w:r>
        <w:rPr>
          <w:rFonts w:hint="eastAsia" w:ascii="仿宋_GB2312" w:eastAsia="仿宋_GB2312" w:cs="DengXian-Regular"/>
          <w:sz w:val="32"/>
          <w:szCs w:val="32"/>
        </w:rPr>
        <w:t>。</w:t>
      </w:r>
      <w:bookmarkStart w:id="0" w:name="_GoBack"/>
      <w:bookmarkEnd w:id="0"/>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台（套）比上年增加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套,主要是</w:t>
      </w:r>
      <w:r>
        <w:rPr>
          <w:rFonts w:hint="eastAsia" w:ascii="仿宋_GB2312" w:eastAsia="仿宋_GB2312" w:cs="DengXian-Regular"/>
          <w:sz w:val="32"/>
          <w:szCs w:val="32"/>
          <w:lang w:eastAsia="zh-CN"/>
        </w:rPr>
        <w:t>不涉及</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1、本部门2018年度</w:t>
      </w:r>
      <w:r>
        <w:rPr>
          <w:rFonts w:hint="eastAsia" w:ascii="仿宋" w:hAnsi="仿宋" w:eastAsia="仿宋" w:cs="仿宋"/>
          <w:sz w:val="32"/>
          <w:szCs w:val="32"/>
        </w:rPr>
        <w:t>无政府性基金预算财政拨款收入支出、无国有资本经营预算财政拨款支出,无政府采购情况，</w:t>
      </w:r>
      <w:r>
        <w:rPr>
          <w:rFonts w:hint="eastAsia" w:ascii="仿宋_GB2312" w:eastAsia="仿宋_GB2312" w:cs="DengXian-Regular"/>
          <w:sz w:val="32"/>
          <w:szCs w:val="32"/>
        </w:rPr>
        <w:t>无收支及结转结余情况，故</w:t>
      </w:r>
      <w:r>
        <w:rPr>
          <w:rFonts w:hint="eastAsia" w:ascii="仿宋" w:hAnsi="仿宋" w:eastAsia="仿宋" w:cs="仿宋"/>
          <w:sz w:val="32"/>
          <w:szCs w:val="32"/>
        </w:rPr>
        <w:t>无政府性基金预算财政拨款收入支出、无国有资本经营预算财政拨款支出,无政府采购</w:t>
      </w:r>
      <w:r>
        <w:rPr>
          <w:rFonts w:hint="eastAsia" w:ascii="仿宋_GB2312" w:eastAsia="仿宋_GB2312" w:cs="DengXian-Regular"/>
          <w:sz w:val="32"/>
          <w:szCs w:val="32"/>
        </w:rPr>
        <w:t>表以空表列示。</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p>
    <w:p>
      <w:pPr>
        <w:widowControl/>
        <w:spacing w:line="1200" w:lineRule="exact"/>
        <w:jc w:val="center"/>
        <w:rPr>
          <w:rFonts w:hAnsi="宋体" w:asciiTheme="minorEastAsia" w:eastAsiaTheme="minorEastAsia"/>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第四部分</w:t>
      </w:r>
    </w:p>
    <w:p>
      <w:pPr>
        <w:widowControl/>
        <w:spacing w:line="1200" w:lineRule="exact"/>
        <w:jc w:val="center"/>
        <w:rPr>
          <w:color w:val="000000" w:themeColor="text1"/>
          <w:sz w:val="96"/>
          <w:szCs w:val="96"/>
          <w14:textFill>
            <w14:solidFill>
              <w14:schemeClr w14:val="tx1"/>
            </w14:solidFill>
          </w14:textFill>
        </w:rPr>
      </w:pPr>
      <w:r>
        <w:rPr>
          <w:rFonts w:hint="eastAsia" w:hAnsi="宋体" w:asciiTheme="minorEastAsia" w:eastAsiaTheme="minorEastAsia"/>
          <w:color w:val="000000" w:themeColor="text1"/>
          <w:sz w:val="96"/>
          <w:szCs w:val="96"/>
          <w14:textFill>
            <w14:solidFill>
              <w14:schemeClr w14:val="tx1"/>
            </w14:solidFill>
          </w14:textFill>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541A6E49-70CC-427C-8232-43E3A3CBCF60}"/>
  </w:font>
  <w:font w:name="黑体">
    <w:panose1 w:val="02010609060101010101"/>
    <w:charset w:val="86"/>
    <w:family w:val="auto"/>
    <w:pitch w:val="default"/>
    <w:sig w:usb0="800002BF" w:usb1="38CF7CFA" w:usb2="00000016" w:usb3="00000000" w:csb0="00040001" w:csb1="00000000"/>
    <w:embedRegular r:id="rId2" w:fontKey="{A59EA2DF-5B70-4D2F-8966-B776639F04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2E49B7E7-84A4-4631-8B95-DC2AF3C44122}"/>
  </w:font>
  <w:font w:name="Cambria">
    <w:panose1 w:val="02040503050406030204"/>
    <w:charset w:val="00"/>
    <w:family w:val="roman"/>
    <w:pitch w:val="default"/>
    <w:sig w:usb0="E00002FF" w:usb1="400004FF" w:usb2="00000000" w:usb3="00000000" w:csb0="2000019F" w:csb1="00000000"/>
    <w:embedRegular r:id="rId4" w:fontKey="{68B9AFBF-A85A-410C-9F18-96B5D174D22E}"/>
  </w:font>
  <w:font w:name="楷体">
    <w:panose1 w:val="02010609060101010101"/>
    <w:charset w:val="86"/>
    <w:family w:val="modern"/>
    <w:pitch w:val="default"/>
    <w:sig w:usb0="800002BF" w:usb1="38CF7CFA" w:usb2="00000016" w:usb3="00000000" w:csb0="00040001" w:csb1="00000000"/>
    <w:embedRegular r:id="rId5" w:fontKey="{6F95F8D7-E0D2-440B-907C-86056BB70EC5}"/>
  </w:font>
  <w:font w:name="仿宋_GB2312">
    <w:panose1 w:val="02010609030101010101"/>
    <w:charset w:val="86"/>
    <w:family w:val="modern"/>
    <w:pitch w:val="default"/>
    <w:sig w:usb0="00000001" w:usb1="080E0000" w:usb2="00000000" w:usb3="00000000" w:csb0="00040000" w:csb1="00000000"/>
    <w:embedRegular r:id="rId6" w:fontKey="{5600A269-1A17-44CB-8786-71F4EB70BF0F}"/>
  </w:font>
  <w:font w:name="仿宋">
    <w:panose1 w:val="02010609060101010101"/>
    <w:charset w:val="86"/>
    <w:family w:val="modern"/>
    <w:pitch w:val="default"/>
    <w:sig w:usb0="800002BF" w:usb1="38CF7CFA" w:usb2="00000016" w:usb3="00000000" w:csb0="00040001" w:csb1="00000000"/>
    <w:embedRegular r:id="rId7" w:fontKey="{1004C113-0963-4C3A-89C1-A4A0C6660860}"/>
  </w:font>
  <w:font w:name="ArialUnicodeMS">
    <w:altName w:val="Malgun Gothic"/>
    <w:panose1 w:val="00000000000000000000"/>
    <w:charset w:val="81"/>
    <w:family w:val="auto"/>
    <w:pitch w:val="default"/>
    <w:sig w:usb0="00000000" w:usb1="00000000" w:usb2="00000010" w:usb3="00000000" w:csb0="00080001" w:csb1="00000000"/>
    <w:embedRegular r:id="rId8" w:fontKey="{39D67E6A-18FC-4E94-A96E-D46B6AA58AC1}"/>
  </w:font>
  <w:font w:name="MS-UIGothic,Bold">
    <w:altName w:val="Malgun Gothic"/>
    <w:panose1 w:val="00000000000000000000"/>
    <w:charset w:val="81"/>
    <w:family w:val="auto"/>
    <w:pitch w:val="default"/>
    <w:sig w:usb0="00000000" w:usb1="00000000" w:usb2="00000010" w:usb3="00000000" w:csb0="00080000" w:csb1="00000000"/>
    <w:embedRegular r:id="rId9" w:fontKey="{166F670F-4C39-486B-A690-796E88BBAEAF}"/>
  </w:font>
  <w:font w:name="DengXian-Regular">
    <w:altName w:val="宋体"/>
    <w:panose1 w:val="00000000000000000000"/>
    <w:charset w:val="86"/>
    <w:family w:val="auto"/>
    <w:pitch w:val="default"/>
    <w:sig w:usb0="00000000" w:usb1="00000000" w:usb2="00000010" w:usb3="00000000" w:csb0="00040001" w:csb1="00000000"/>
    <w:embedRegular r:id="rId10" w:fontKey="{D1F5F2C8-909C-46AD-BDF0-71F0848D03A4}"/>
  </w:font>
  <w:font w:name="楷体_GB2312">
    <w:panose1 w:val="02010609030101010101"/>
    <w:charset w:val="86"/>
    <w:family w:val="modern"/>
    <w:pitch w:val="default"/>
    <w:sig w:usb0="00000001" w:usb1="080E0000" w:usb2="00000000" w:usb3="00000000" w:csb0="00040000" w:csb1="00000000"/>
    <w:embedRegular r:id="rId11" w:fontKey="{402E3D91-7A7F-4E22-98F2-9935F196A2D8}"/>
  </w:font>
  <w:font w:name="DengXian-Bold">
    <w:altName w:val="宋体"/>
    <w:panose1 w:val="00000000000000000000"/>
    <w:charset w:val="86"/>
    <w:family w:val="auto"/>
    <w:pitch w:val="default"/>
    <w:sig w:usb0="00000000" w:usb1="00000000" w:usb2="00000010" w:usb3="00000000" w:csb0="00040001" w:csb1="00000000"/>
    <w:embedRegular r:id="rId12" w:fontKey="{F6B393B0-5CE2-4AA3-A801-64F9F6147C41}"/>
  </w:font>
  <w:font w:name="TimesNewRomanPSMT">
    <w:altName w:val="Arial"/>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2AF" w:usb1="01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413"/>
    <w:rsid w:val="00020FAF"/>
    <w:rsid w:val="00022474"/>
    <w:rsid w:val="00024E7F"/>
    <w:rsid w:val="000475A0"/>
    <w:rsid w:val="00067693"/>
    <w:rsid w:val="000838C3"/>
    <w:rsid w:val="000B2446"/>
    <w:rsid w:val="000D7C65"/>
    <w:rsid w:val="000E2F81"/>
    <w:rsid w:val="000F7946"/>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21A6A"/>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6F6950"/>
    <w:rsid w:val="02745B37"/>
    <w:rsid w:val="04073F84"/>
    <w:rsid w:val="04370DDD"/>
    <w:rsid w:val="06EB1F3F"/>
    <w:rsid w:val="083E4EFC"/>
    <w:rsid w:val="0B60750A"/>
    <w:rsid w:val="10686488"/>
    <w:rsid w:val="10DF728A"/>
    <w:rsid w:val="11951E4D"/>
    <w:rsid w:val="1264200E"/>
    <w:rsid w:val="13197F61"/>
    <w:rsid w:val="13A407EF"/>
    <w:rsid w:val="141C5B77"/>
    <w:rsid w:val="147667D0"/>
    <w:rsid w:val="14E86B17"/>
    <w:rsid w:val="17305520"/>
    <w:rsid w:val="18D8339D"/>
    <w:rsid w:val="1A21388F"/>
    <w:rsid w:val="1A570D2F"/>
    <w:rsid w:val="1A837CD4"/>
    <w:rsid w:val="1C521F4A"/>
    <w:rsid w:val="1DA74C6C"/>
    <w:rsid w:val="1DDF6B04"/>
    <w:rsid w:val="1DF4773B"/>
    <w:rsid w:val="1F6735D7"/>
    <w:rsid w:val="224A035A"/>
    <w:rsid w:val="24806780"/>
    <w:rsid w:val="26A26767"/>
    <w:rsid w:val="28FB0B8D"/>
    <w:rsid w:val="29CE7511"/>
    <w:rsid w:val="2D2B7942"/>
    <w:rsid w:val="2D46481D"/>
    <w:rsid w:val="2D8064B1"/>
    <w:rsid w:val="2DCA23FA"/>
    <w:rsid w:val="2E733B28"/>
    <w:rsid w:val="303A1A3F"/>
    <w:rsid w:val="312D1DE1"/>
    <w:rsid w:val="31852B5A"/>
    <w:rsid w:val="319C336E"/>
    <w:rsid w:val="32D01238"/>
    <w:rsid w:val="37486D30"/>
    <w:rsid w:val="397C4757"/>
    <w:rsid w:val="3DFC59A8"/>
    <w:rsid w:val="3ECF245E"/>
    <w:rsid w:val="3FB96314"/>
    <w:rsid w:val="42C70F41"/>
    <w:rsid w:val="438377C0"/>
    <w:rsid w:val="463E6B14"/>
    <w:rsid w:val="4DF936A7"/>
    <w:rsid w:val="4E97083C"/>
    <w:rsid w:val="5305521A"/>
    <w:rsid w:val="53A44FAF"/>
    <w:rsid w:val="550541DA"/>
    <w:rsid w:val="594329EC"/>
    <w:rsid w:val="5BEE1540"/>
    <w:rsid w:val="5DE61A5D"/>
    <w:rsid w:val="63C04243"/>
    <w:rsid w:val="649C01C7"/>
    <w:rsid w:val="66072116"/>
    <w:rsid w:val="68B74BAC"/>
    <w:rsid w:val="699A3F60"/>
    <w:rsid w:val="6E0D2A05"/>
    <w:rsid w:val="72706696"/>
    <w:rsid w:val="72902E62"/>
    <w:rsid w:val="738B3742"/>
    <w:rsid w:val="73C61104"/>
    <w:rsid w:val="76FD63BB"/>
    <w:rsid w:val="771026BB"/>
    <w:rsid w:val="776452EA"/>
    <w:rsid w:val="7BCC6706"/>
    <w:rsid w:val="7DC663B9"/>
    <w:rsid w:val="7DCF4E52"/>
    <w:rsid w:val="7F7A786C"/>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14:textFill>
        <w14:solidFill>
          <w14:schemeClr w14:val="accent1"/>
        </w14:solidFill>
      </w14:textFill>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B2C24"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B2C24"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14:textFill>
        <w14:solidFill>
          <w14:schemeClr w14:val="accent1"/>
        </w14:solidFill>
      </w14:textFill>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5.xml"/><Relationship Id="rId7" Type="http://schemas.openxmlformats.org/officeDocument/2006/relationships/chart" Target="charts/chart4.xml"/><Relationship Id="rId6" Type="http://schemas.openxmlformats.org/officeDocument/2006/relationships/chart" Target="charts/chart3.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100</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delete val="1"/>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财政拨款收入</c:v>
                </c:pt>
              </c:strCache>
            </c:strRef>
          </c:cat>
          <c:val>
            <c:numRef>
              <c:f>Sheet1!$B$2:$B$3</c:f>
              <c:numCache>
                <c:formatCode>General</c:formatCode>
                <c:ptCount val="2"/>
                <c:pt idx="0">
                  <c:v>100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销售额</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11.97</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88</a:t>
                    </a:r>
                    <a:r>
                      <a:rPr lang="en-US" altLang="zh-CN"/>
                      <a:t>.03</a:t>
                    </a:r>
                    <a:r>
                      <a:t>%</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11.97</c:v>
                </c:pt>
                <c:pt idx="1">
                  <c:v>88.03</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2000" b="0" i="0" u="none" strike="noStrike" kern="1200" cap="none" spc="0" normalizeH="0" baseline="0">
              <a:solidFill>
                <a:schemeClr val="tx1">
                  <a:lumMod val="65000"/>
                  <a:lumOff val="35000"/>
                </a:schemeClr>
              </a:solidFill>
              <a:latin typeface="+mj-lt"/>
              <a:ea typeface="+mj-ea"/>
              <a:cs typeface="+mj-cs"/>
            </a:defRPr>
          </a:pPr>
        </a:p>
      </c:txPr>
    </c:title>
    <c:autoTitleDeleted val="0"/>
    <c:plotArea>
      <c:layout>
        <c:manualLayout>
          <c:layoutTarget val="inner"/>
          <c:xMode val="edge"/>
          <c:yMode val="edge"/>
          <c:x val="0.07445"/>
          <c:y val="0.198744769874477"/>
          <c:w val="0.9218"/>
          <c:h val="0.541059972105997"/>
        </c:manualLayout>
      </c:layout>
      <c:barChart>
        <c:barDir val="col"/>
        <c:grouping val="clustered"/>
        <c:varyColors val="0"/>
        <c:ser>
          <c:idx val="0"/>
          <c:order val="0"/>
          <c:tx>
            <c:strRef>
              <c:f>Sheet1!$B$1</c:f>
              <c:strCache>
                <c:ptCount val="1"/>
                <c:pt idx="0">
                  <c:v>2017</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Sheet1!$B$2:$B$5</c:f>
              <c:numCache>
                <c:formatCode>General</c:formatCode>
                <c:ptCount val="4"/>
                <c:pt idx="0">
                  <c:v>2692</c:v>
                </c:pt>
                <c:pt idx="1">
                  <c:v>2820.24</c:v>
                </c:pt>
                <c:pt idx="2">
                  <c:v>0</c:v>
                </c:pt>
                <c:pt idx="3">
                  <c:v>0</c:v>
                </c:pt>
              </c:numCache>
            </c:numRef>
          </c:val>
        </c:ser>
        <c:ser>
          <c:idx val="1"/>
          <c:order val="1"/>
          <c:tx>
            <c:strRef>
              <c:f>Sheet1!$C$1</c:f>
              <c:strCache>
                <c:ptCount val="1"/>
                <c:pt idx="0">
                  <c:v>2018</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Sheet1!$C$2:$C$5</c:f>
              <c:numCache>
                <c:formatCode>General</c:formatCode>
                <c:ptCount val="4"/>
                <c:pt idx="0">
                  <c:v>5017.4</c:v>
                </c:pt>
                <c:pt idx="1">
                  <c:v>4829.32</c:v>
                </c:pt>
                <c:pt idx="2">
                  <c:v>17.49</c:v>
                </c:pt>
                <c:pt idx="3">
                  <c:v>17.49</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199"/>
        <c:overlap val="0"/>
        <c:axId val="176320882"/>
        <c:axId val="589101833"/>
      </c:barChart>
      <c:catAx>
        <c:axId val="1763208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cap="none" spc="0" normalizeH="0" baseline="0">
                <a:solidFill>
                  <a:schemeClr val="tx1">
                    <a:lumMod val="65000"/>
                    <a:lumOff val="35000"/>
                  </a:schemeClr>
                </a:solidFill>
                <a:latin typeface="+mn-lt"/>
                <a:ea typeface="+mn-ea"/>
                <a:cs typeface="+mn-cs"/>
              </a:defRPr>
            </a:pPr>
          </a:p>
        </c:txPr>
        <c:crossAx val="589101833"/>
        <c:crosses val="autoZero"/>
        <c:auto val="1"/>
        <c:lblAlgn val="ctr"/>
        <c:lblOffset val="100"/>
        <c:noMultiLvlLbl val="0"/>
      </c:catAx>
      <c:valAx>
        <c:axId val="589101833"/>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6320882"/>
        <c:crosses val="autoZero"/>
        <c:crossBetween val="between"/>
      </c:valAx>
      <c:spPr>
        <a:noFill/>
        <a:ln>
          <a:noFill/>
        </a:ln>
        <a:effectLst/>
      </c:spPr>
    </c:plotArea>
    <c:legend>
      <c:legendPos val="t"/>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9524130623254"/>
          <c:y val="0.111111111111111"/>
          <c:w val="0.826895289471149"/>
          <c:h val="0.389556015642972"/>
        </c:manualLayout>
      </c:layout>
      <c:barChart>
        <c:barDir val="col"/>
        <c:grouping val="clustered"/>
        <c:varyColors val="0"/>
        <c:ser>
          <c:idx val="0"/>
          <c:order val="0"/>
          <c:tx>
            <c:strRef>
              <c:f>Sheet1!$B$1</c:f>
              <c:strCache>
                <c:ptCount val="1"/>
                <c:pt idx="0">
                  <c:v>年初预算数</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Sheet1!$B$2:$B$5</c:f>
              <c:numCache>
                <c:formatCode>General</c:formatCode>
                <c:ptCount val="4"/>
                <c:pt idx="0">
                  <c:v>3644.89</c:v>
                </c:pt>
                <c:pt idx="1">
                  <c:v>3644.89</c:v>
                </c:pt>
                <c:pt idx="2">
                  <c:v>0</c:v>
                </c:pt>
                <c:pt idx="3">
                  <c:v>0</c:v>
                </c:pt>
              </c:numCache>
            </c:numRef>
          </c:val>
        </c:ser>
        <c:ser>
          <c:idx val="1"/>
          <c:order val="1"/>
          <c:tx>
            <c:strRef>
              <c:f>Sheet1!$C$1</c:f>
              <c:strCache>
                <c:ptCount val="1"/>
                <c:pt idx="0">
                  <c:v>决算数</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spPr>
                    <a:ln w="9525">
                      <a:solidFill>
                        <a:schemeClr val="dk1">
                          <a:lumMod val="50000"/>
                          <a:lumOff val="50000"/>
                        </a:schemeClr>
                      </a:solidFill>
                    </a:ln>
                    <a:effectLst/>
                  </c:spPr>
                </c15:leaderLines>
              </c:ext>
            </c:extLst>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Sheet1!$C$2:$C$5</c:f>
              <c:numCache>
                <c:formatCode>General</c:formatCode>
                <c:ptCount val="4"/>
                <c:pt idx="0">
                  <c:v>5017.4</c:v>
                </c:pt>
                <c:pt idx="1">
                  <c:v>4829.32</c:v>
                </c:pt>
                <c:pt idx="2">
                  <c:v>17.49</c:v>
                </c:pt>
                <c:pt idx="3">
                  <c:v>17.49</c:v>
                </c:pt>
              </c:numCache>
            </c:numRef>
          </c:val>
        </c:ser>
        <c:ser>
          <c:idx val="2"/>
          <c:order val="2"/>
          <c:tx>
            <c:strRef>
              <c:f>Sheet1!#REF!</c:f>
              <c:strCache>
                <c:ptCount val="1"/>
                <c:pt idx="0">
                  <c:v/>
                </c:pt>
              </c:strCache>
            </c:strRef>
          </c:tx>
          <c:spPr>
            <a:solidFill>
              <a:schemeClr val="accent3">
                <a:alpha val="85000"/>
              </a:schemeClr>
            </a:solidFill>
            <a:ln w="9525" cap="flat" cmpd="sng" algn="ctr">
              <a:solidFill>
                <a:schemeClr val="lt1">
                  <a:alpha val="50000"/>
                </a:schemeClr>
              </a:solidFill>
              <a:round/>
            </a:ln>
            <a:effectLst/>
          </c:spPr>
          <c:invertIfNegative val="0"/>
          <c:dLbls>
            <c:delete val="1"/>
          </c:dLbls>
          <c:cat>
            <c:strRef>
              <c:f>Sheet1!$A$2:$A$5</c:f>
              <c:strCache>
                <c:ptCount val="4"/>
                <c:pt idx="0">
                  <c:v>一般公共预算财政拨款收入</c:v>
                </c:pt>
                <c:pt idx="1">
                  <c:v>一般公共预算财政拨款支出</c:v>
                </c:pt>
                <c:pt idx="2">
                  <c:v>政府性基金预算财政拨款收入</c:v>
                </c:pt>
                <c:pt idx="3">
                  <c:v>政府性基金预算财政拨款支出</c:v>
                </c:pt>
              </c:strCache>
            </c:strRef>
          </c:cat>
          <c:val>
            <c:numRef>
              <c:f>Sheet1!#REF!</c:f>
              <c:numCache>
                <c:formatCode>General</c:formatCode>
                <c:ptCount val="1"/>
                <c:pt idx="0">
                  <c:v>1</c:v>
                </c:pt>
              </c:numCache>
            </c:numRef>
          </c:val>
        </c:ser>
        <c:dLbls>
          <c:showLegendKey val="0"/>
          <c:showVal val="1"/>
          <c:showCatName val="0"/>
          <c:showSerName val="0"/>
          <c:showPercent val="0"/>
          <c:showBubbleSize val="0"/>
        </c:dLbls>
        <c:gapWidth val="65"/>
        <c:overlap val="0"/>
        <c:axId val="546997449"/>
        <c:axId val="598657985"/>
      </c:barChart>
      <c:catAx>
        <c:axId val="546997449"/>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598657985"/>
        <c:crosses val="autoZero"/>
        <c:auto val="1"/>
        <c:lblAlgn val="ctr"/>
        <c:lblOffset val="100"/>
        <c:noMultiLvlLbl val="0"/>
      </c:catAx>
      <c:valAx>
        <c:axId val="59865798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546997449"/>
        <c:crosses val="autoZero"/>
        <c:crossBetween val="between"/>
      </c:valAx>
      <c:spPr>
        <a:noFill/>
        <a:ln>
          <a:noFill/>
        </a:ln>
        <a:effectLst/>
      </c:spPr>
    </c:plotArea>
    <c:legend>
      <c:legendPos val="b"/>
      <c:legendEntry>
        <c:idx val="2"/>
        <c:delete val="1"/>
      </c:legendEntry>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295"/>
          <c:y val="0.143"/>
          <c:w val="0.61525"/>
          <c:h val="0.820333333333333"/>
        </c:manualLayout>
      </c:layout>
      <c:pieChart>
        <c:varyColors val="1"/>
        <c:ser>
          <c:idx val="0"/>
          <c:order val="0"/>
          <c:tx>
            <c:strRef>
              <c:f>Sheet1!$B$1</c:f>
              <c:strCache>
                <c:ptCount val="1"/>
                <c:pt idx="0">
                  <c:v>列1</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99.04</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manualLayout>
                  <c:x val="-0.171409414946537"/>
                  <c:y val="-0.0741402019162135"/>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0.18</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216731337401566"/>
                  <c:y val="0.0894936618831653"/>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0.29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270346434642394"/>
                  <c:y val="0.0263041825460581"/>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0.49</a:t>
                    </a:r>
                    <a:r>
                      <a:t>%</a:t>
                    </a:r>
                  </a:p>
                </c:rich>
              </c:tx>
              <c:dLblPos val="bestFit"/>
              <c:showLegendKey val="0"/>
              <c:showVal val="0"/>
              <c:showCatName val="0"/>
              <c:showSerName val="0"/>
              <c:showPercent val="1"/>
              <c:showBubbleSize val="0"/>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农林水支出</c:v>
                </c:pt>
                <c:pt idx="1">
                  <c:v>医疗卫生与计划生育支出</c:v>
                </c:pt>
                <c:pt idx="2">
                  <c:v>社会保障和就业（类）支出</c:v>
                </c:pt>
                <c:pt idx="3">
                  <c:v>住房保障（类）支出</c:v>
                </c:pt>
              </c:strCache>
            </c:strRef>
          </c:cat>
          <c:val>
            <c:numRef>
              <c:f>Sheet1!$B$2:$B$5</c:f>
              <c:numCache>
                <c:formatCode>General</c:formatCode>
                <c:ptCount val="4"/>
                <c:pt idx="0">
                  <c:v>93.43</c:v>
                </c:pt>
                <c:pt idx="1">
                  <c:v>1.21</c:v>
                </c:pt>
                <c:pt idx="2">
                  <c:v>3.28</c:v>
                </c:pt>
                <c:pt idx="3">
                  <c:v>2.08</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8</TotalTime>
  <ScaleCrop>false</ScaleCrop>
  <LinksUpToDate>false</LinksUpToDate>
  <CharactersWithSpaces>11081</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WPS_1504838102</cp:lastModifiedBy>
  <cp:lastPrinted>2019-09-27T00:42:00Z</cp:lastPrinted>
  <dcterms:modified xsi:type="dcterms:W3CDTF">2021-06-08T08:17:19Z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